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53" w:rsidRDefault="00885E53" w:rsidP="00652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85E53" w:rsidRPr="00885E53" w:rsidRDefault="00885E53" w:rsidP="00885E5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</w:pPr>
      <w:r w:rsidRPr="00885E53">
        <w:rPr>
          <w:rFonts w:ascii="Times New Roman" w:eastAsia="Times New Roman" w:hAnsi="Times New Roman" w:cs="Times New Roman"/>
          <w:bCs w:val="0"/>
          <w:color w:val="auto"/>
          <w:lang w:val="kk-KZ" w:eastAsia="ru-RU"/>
        </w:rPr>
        <w:t>«</w:t>
      </w:r>
      <w:r w:rsidRPr="00885E53">
        <w:rPr>
          <w:rFonts w:ascii="Times New Roman" w:eastAsia="Times New Roman" w:hAnsi="Times New Roman" w:cs="Times New Roman"/>
          <w:bCs w:val="0"/>
          <w:color w:val="auto"/>
          <w:lang w:val="en-US" w:eastAsia="ru-RU"/>
        </w:rPr>
        <w:t>Taxation of foreign companies engaged in electronic trade in goods and the provision of electronic services to individuals</w:t>
      </w:r>
      <w:r w:rsidRPr="00885E53">
        <w:rPr>
          <w:rFonts w:ascii="Times New Roman" w:eastAsia="Times New Roman" w:hAnsi="Times New Roman" w:cs="Times New Roman"/>
          <w:color w:val="auto"/>
          <w:lang w:val="en-US" w:eastAsia="ru-RU"/>
        </w:rPr>
        <w:t>»</w:t>
      </w:r>
    </w:p>
    <w:p w:rsidR="00885E53" w:rsidRPr="00885E53" w:rsidRDefault="00885E53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E1E8D" w:rsidRDefault="00885E53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State Revenue Committee of the Ministry of Finance of the Republic of Kazakhstan (</w:t>
      </w:r>
      <w:r w:rsidR="003D7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hereinafter - SRC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informs that from January 1, 2022 a new section of the Tax Code comes into force,</w:t>
      </w:r>
      <w:r w:rsidR="00643E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regulating the procedure for imposing value added tax on f</w:t>
      </w:r>
      <w:r w:rsidR="00AC03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oreign companies, through the </w:t>
      </w:r>
      <w:r w:rsidR="00643E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internet platform</w:t>
      </w:r>
      <w:r w:rsidR="00AC03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 which</w:t>
      </w:r>
      <w:r w:rsidR="00643E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electronic trade in goods i</w:t>
      </w:r>
      <w:r w:rsidR="00AC03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  carried out, as well as providing</w:t>
      </w:r>
      <w:r w:rsidR="00643E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services in electronic form to individuals.</w:t>
      </w:r>
      <w:proofErr w:type="gramEnd"/>
      <w:r w:rsidR="00643E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6E1E8D" w:rsidRDefault="006E1E8D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new provisions provide for the following conditions, upon establishing one of which a foreign company is obliged to calculate and pay value added tax in the Republic of Kazakhstan:</w:t>
      </w:r>
    </w:p>
    <w:p w:rsidR="006E1E8D" w:rsidRDefault="006E1E8D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place of residence of an individual-buyer is the Republic of Kazakhstan;</w:t>
      </w:r>
    </w:p>
    <w:p w:rsidR="001D229A" w:rsidRDefault="006E1E8D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location of the bank, in which a bank account is opened used by an individual-buyer to pay for services, or an electronic money operator through which an individual-buyer is paying for services, is the territory of the Republic of Kazakhstan;</w:t>
      </w:r>
    </w:p>
    <w:p w:rsidR="001D229A" w:rsidRDefault="001D229A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network address of the individual-buyer used to purchase the services is registered in the Republic of Kazakhstan;</w:t>
      </w:r>
    </w:p>
    <w:p w:rsidR="00885E53" w:rsidRDefault="001D229A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international country code of the telephone number (including mobile) used to purchase or pay for services is assigned by the Republic of Kazakhstan;</w:t>
      </w:r>
      <w:r w:rsidR="006E1E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E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1D229A" w:rsidRDefault="001D229A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Consequently, a foreign company, through the internet platform of wh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ich electronic trade in goods is carried out and (or) refuses services in electronic form to individuals</w:t>
      </w:r>
      <w:r w:rsidR="002C226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relation to whom the above conditions are established, is recognized as a payer of value added tax in the Republic of Kazakhstan and </w:t>
      </w:r>
      <w:r w:rsidR="002C226B" w:rsidRPr="002C226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is subject to conditional registration with the tax authority. </w:t>
      </w:r>
    </w:p>
    <w:p w:rsidR="002C226B" w:rsidRDefault="002C226B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conditional registration, a foreign company </w:t>
      </w:r>
      <w:r w:rsidRPr="003D7B2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once sends a confirmation letter by mail to the S</w:t>
      </w:r>
      <w:r w:rsidR="003D7B2A" w:rsidRPr="003D7B2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RC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in which it indicates:</w:t>
      </w:r>
    </w:p>
    <w:p w:rsidR="002C226B" w:rsidRDefault="002C226B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full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name of the foreign company;</w:t>
      </w:r>
    </w:p>
    <w:p w:rsidR="002C226B" w:rsidRDefault="00B85A55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tax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registration number ( or its equivalent), if there is such a number in the country of incorporation or country of residence of the non-resident; </w:t>
      </w:r>
    </w:p>
    <w:p w:rsidR="00B85A55" w:rsidRDefault="00B85A55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state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registration number </w:t>
      </w:r>
      <w:r w:rsidR="00B942B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 or its equivalent), in the country of incorporation of the non-resident or  the country of residence of the non-resident;</w:t>
      </w:r>
    </w:p>
    <w:p w:rsidR="000430B6" w:rsidRDefault="00B942B0" w:rsidP="00885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bank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details from which the value added tax will be paid when carrying out electronic trade in goods, providing services in electronic form to individuals;</w:t>
      </w:r>
    </w:p>
    <w:p w:rsidR="002F2F68" w:rsidRDefault="000430B6" w:rsidP="002F2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postal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details ( o</w:t>
      </w:r>
      <w:r w:rsidR="002F2F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fficial email address,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address</w:t>
      </w:r>
      <w:r w:rsidR="00B942B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2F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 location in the country of incorporation or country of residence of the non-resident).</w:t>
      </w:r>
    </w:p>
    <w:p w:rsidR="00CA6D19" w:rsidRDefault="002F2F68" w:rsidP="002F2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 order to simplify the business process for the specified turnover, the foreign company does not provide tax reporting on value added tax and does not issue electronic invoices.</w:t>
      </w:r>
    </w:p>
    <w:p w:rsidR="00B942B0" w:rsidRPr="002C226B" w:rsidRDefault="00CA6D19" w:rsidP="002F2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turnover of a foreign company related to electronic trade in goods and the provision of electronic services is subject to value added tax the rate of </w:t>
      </w:r>
      <w:r w:rsidRPr="00CA6D1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12 percent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The payment period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 made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based on the results of the quarter in which the goods were sold and services were rendered, respectively, on </w:t>
      </w:r>
      <w:r w:rsidRPr="00CA6D1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May 25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CA6D1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August 25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CA6D1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November 25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CA6D1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and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CA6D1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February 25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 </w:t>
      </w:r>
      <w:r w:rsidR="002F2F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652D80" w:rsidRPr="00652D80" w:rsidRDefault="00652D80" w:rsidP="005F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sectPr w:rsidR="00652D80" w:rsidRPr="00652D80" w:rsidSect="00E86670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05"/>
    <w:rsid w:val="000430B6"/>
    <w:rsid w:val="0008399D"/>
    <w:rsid w:val="000A7028"/>
    <w:rsid w:val="001042B5"/>
    <w:rsid w:val="001D229A"/>
    <w:rsid w:val="00235A26"/>
    <w:rsid w:val="00294080"/>
    <w:rsid w:val="002A47A7"/>
    <w:rsid w:val="002C226B"/>
    <w:rsid w:val="002C5E61"/>
    <w:rsid w:val="002D5D6C"/>
    <w:rsid w:val="002F2F68"/>
    <w:rsid w:val="00327857"/>
    <w:rsid w:val="00396D91"/>
    <w:rsid w:val="003D424B"/>
    <w:rsid w:val="003D7B2A"/>
    <w:rsid w:val="004A6ED6"/>
    <w:rsid w:val="004B15BF"/>
    <w:rsid w:val="005524E8"/>
    <w:rsid w:val="005F1816"/>
    <w:rsid w:val="00643E70"/>
    <w:rsid w:val="00652D80"/>
    <w:rsid w:val="006E1E8D"/>
    <w:rsid w:val="00754405"/>
    <w:rsid w:val="007D4269"/>
    <w:rsid w:val="008547F7"/>
    <w:rsid w:val="00877C67"/>
    <w:rsid w:val="00885E53"/>
    <w:rsid w:val="008E5480"/>
    <w:rsid w:val="008F15C4"/>
    <w:rsid w:val="0094344C"/>
    <w:rsid w:val="009A1987"/>
    <w:rsid w:val="00A1169D"/>
    <w:rsid w:val="00AC0348"/>
    <w:rsid w:val="00AD49B5"/>
    <w:rsid w:val="00B213C5"/>
    <w:rsid w:val="00B55F52"/>
    <w:rsid w:val="00B85A55"/>
    <w:rsid w:val="00B942B0"/>
    <w:rsid w:val="00BC44CF"/>
    <w:rsid w:val="00BE2C52"/>
    <w:rsid w:val="00BF261B"/>
    <w:rsid w:val="00BF6BC4"/>
    <w:rsid w:val="00C31B09"/>
    <w:rsid w:val="00C46DD8"/>
    <w:rsid w:val="00C676CF"/>
    <w:rsid w:val="00C73E49"/>
    <w:rsid w:val="00CA6D19"/>
    <w:rsid w:val="00E001B2"/>
    <w:rsid w:val="00E230BF"/>
    <w:rsid w:val="00E347EB"/>
    <w:rsid w:val="00E63C52"/>
    <w:rsid w:val="00E80205"/>
    <w:rsid w:val="00E86670"/>
    <w:rsid w:val="00E96CBA"/>
    <w:rsid w:val="00EF345A"/>
    <w:rsid w:val="00F341B3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072DA-5CC5-4AE8-AE54-DC41BA2E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3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69BC-5323-4443-B19E-C5FE5572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Асембаев Ержан Сатыбалдинович</dc:creator>
  <cp:lastModifiedBy>Тюлегенов Темирлан Ерболатович</cp:lastModifiedBy>
  <cp:revision>5</cp:revision>
  <cp:lastPrinted>2021-04-09T12:47:00Z</cp:lastPrinted>
  <dcterms:created xsi:type="dcterms:W3CDTF">2021-04-21T09:50:00Z</dcterms:created>
  <dcterms:modified xsi:type="dcterms:W3CDTF">2021-04-21T10:17:00Z</dcterms:modified>
</cp:coreProperties>
</file>