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__________________ Т</w:t>
      </w:r>
      <w:r w:rsidR="00B201FD" w:rsidRPr="00B201FD">
        <w:rPr>
          <w:b/>
          <w:bCs/>
          <w:kern w:val="32"/>
          <w:lang w:eastAsia="en-US"/>
        </w:rPr>
        <w:t xml:space="preserve">. </w:t>
      </w:r>
      <w:r>
        <w:rPr>
          <w:b/>
          <w:bCs/>
          <w:kern w:val="32"/>
          <w:lang w:eastAsia="en-US"/>
        </w:rPr>
        <w:t>Мамаев</w:t>
      </w:r>
    </w:p>
    <w:p w:rsidR="00B201FD" w:rsidRPr="00B201FD" w:rsidRDefault="00B201FD" w:rsidP="00B201FD">
      <w:pPr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«___»_____________ 201</w:t>
      </w:r>
      <w:r w:rsidR="00DE6732">
        <w:rPr>
          <w:b/>
          <w:bCs/>
          <w:kern w:val="32"/>
          <w:lang w:eastAsia="en-US"/>
        </w:rPr>
        <w:t>9</w:t>
      </w:r>
      <w:r w:rsidRPr="00B201FD">
        <w:rPr>
          <w:b/>
          <w:bCs/>
          <w:kern w:val="32"/>
          <w:lang w:eastAsia="en-US"/>
        </w:rPr>
        <w:t>г.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F35425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F35425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F35425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 xml:space="preserve">Республика Казахстан реализовывает Проект по реформированию налогового администрирования,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средств Проекта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DE6732">
        <w:rPr>
          <w:b/>
        </w:rPr>
        <w:t>/</w:t>
      </w:r>
      <w:r w:rsidR="00364F2B" w:rsidRPr="00BB06DA">
        <w:rPr>
          <w:b/>
          <w:lang w:val="en-US"/>
        </w:rPr>
        <w:t>IC</w:t>
      </w:r>
      <w:r w:rsidR="00364F2B" w:rsidRPr="00BB06DA">
        <w:rPr>
          <w:b/>
        </w:rPr>
        <w:t>-1</w:t>
      </w:r>
      <w:r w:rsidR="00BB06DA" w:rsidRPr="00BB06DA">
        <w:rPr>
          <w:b/>
        </w:rPr>
        <w:t xml:space="preserve">6 </w:t>
      </w:r>
      <w:proofErr w:type="gramStart"/>
      <w:r w:rsidR="00BB06DA" w:rsidRPr="00BB06DA">
        <w:rPr>
          <w:b/>
        </w:rPr>
        <w:t>ИТ</w:t>
      </w:r>
      <w:proofErr w:type="gramEnd"/>
      <w:r w:rsidR="00320DC0" w:rsidRPr="00BB06DA">
        <w:rPr>
          <w:rFonts w:eastAsia="Calibri"/>
          <w:b/>
          <w:lang w:eastAsia="en-US"/>
        </w:rPr>
        <w:t xml:space="preserve"> </w:t>
      </w:r>
      <w:r w:rsidR="00BB06DA" w:rsidRPr="00BB06DA">
        <w:rPr>
          <w:rFonts w:eastAsia="Calibri"/>
          <w:b/>
          <w:lang w:eastAsia="en-US"/>
        </w:rPr>
        <w:t>к</w:t>
      </w:r>
      <w:r w:rsidR="00320DC0" w:rsidRPr="00BB06DA">
        <w:rPr>
          <w:b/>
        </w:rPr>
        <w:t>онсультант</w:t>
      </w:r>
      <w:r w:rsidR="00BB06DA" w:rsidRPr="00BB06DA">
        <w:rPr>
          <w:b/>
        </w:rPr>
        <w:t>а</w:t>
      </w:r>
      <w:r w:rsidR="00BB06DA">
        <w:rPr>
          <w:b/>
        </w:rPr>
        <w:t xml:space="preserve"> по базам данных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Pr="000E5CBD" w:rsidRDefault="00320DC0" w:rsidP="00320DC0">
      <w:pPr>
        <w:outlineLvl w:val="0"/>
        <w:rPr>
          <w:b/>
          <w:bCs/>
          <w:kern w:val="36"/>
        </w:rPr>
      </w:pPr>
      <w:r w:rsidRPr="000E5CBD">
        <w:rPr>
          <w:b/>
          <w:bCs/>
          <w:kern w:val="36"/>
          <w:lang/>
        </w:rPr>
        <w:t>ЦЕЛИ ЗАДАНИЯ И ОБЪЕМ РАБОТ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Основной целью является содействие КГД МФ РК в обеспечении эффективного процесса внедрения, развития и сопровождения информационной системы «Интегрированная база данных» (ИБД) за счет выполнения следующих задач: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Проектирование и поддержание архитектуры высоконагруженного централизованного хранилища данных в системе ИБД;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Аналитическое обеспечение внедрения новых интеграций информационных систем;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Аналитическое обеспечение миграции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Консультация пользователей ИБД по структуре хранилища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методологическое сопровождение процессов по управлению изменениями в структуре хранилища;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последующее поддержание процессов по поддержанию целостности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последующее поддержание процессов по очистке и определению эталонных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последующее поддержание процессов ведения документации на систему.</w:t>
      </w:r>
    </w:p>
    <w:p w:rsidR="00320DC0" w:rsidRPr="000E5CBD" w:rsidRDefault="00320DC0" w:rsidP="00DE6732">
      <w:pPr>
        <w:jc w:val="both"/>
        <w:outlineLvl w:val="0"/>
        <w:rPr>
          <w:rFonts w:eastAsia="Calibri"/>
          <w:lang w:eastAsia="en-US"/>
        </w:rPr>
      </w:pPr>
    </w:p>
    <w:p w:rsidR="00BB06DA" w:rsidRPr="000E5CBD" w:rsidRDefault="00BB06DA" w:rsidP="00BB06DA">
      <w:pPr>
        <w:ind w:firstLine="708"/>
        <w:contextualSpacing/>
        <w:jc w:val="both"/>
        <w:rPr>
          <w:b/>
        </w:rPr>
      </w:pPr>
      <w:r w:rsidRPr="000E5CBD">
        <w:rPr>
          <w:b/>
        </w:rPr>
        <w:t>Консультант обязан выполнить следующий объем работ:</w:t>
      </w:r>
    </w:p>
    <w:p w:rsidR="000E5CBD" w:rsidRDefault="000E5CBD" w:rsidP="00D90108">
      <w:pPr>
        <w:pStyle w:val="af2"/>
        <w:numPr>
          <w:ilvl w:val="0"/>
          <w:numId w:val="31"/>
        </w:numPr>
        <w:ind w:left="0" w:firstLine="284"/>
        <w:jc w:val="both"/>
      </w:pPr>
      <w:r w:rsidRPr="000E5CBD">
        <w:t>В течение 10 рабочих дней со дня заключения контракта (договора) разработка План-графика выполнения работ IT- консультанта. План-график  IT-консультанта должен быть синхронизирован с Планом-графиком реализации проекта ИС ИБД</w:t>
      </w:r>
    </w:p>
    <w:p w:rsidR="000E5CBD" w:rsidRDefault="000E5CBD" w:rsidP="00D90108">
      <w:pPr>
        <w:pStyle w:val="af2"/>
        <w:numPr>
          <w:ilvl w:val="0"/>
          <w:numId w:val="31"/>
        </w:numPr>
        <w:ind w:left="0" w:firstLine="284"/>
        <w:jc w:val="both"/>
      </w:pPr>
      <w:r w:rsidRPr="000E5CBD">
        <w:t xml:space="preserve">Согласование результатов </w:t>
      </w:r>
      <w:proofErr w:type="spellStart"/>
      <w:r w:rsidRPr="000E5CBD">
        <w:t>предпроектного</w:t>
      </w:r>
      <w:proofErr w:type="spellEnd"/>
      <w:r w:rsidRPr="000E5CBD">
        <w:t xml:space="preserve"> обследования, проведенного поставщиком в рамках реализации контракта на разработку ИС ИБД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С</w:t>
      </w:r>
      <w:r w:rsidR="000E5CBD" w:rsidRPr="000E5CBD">
        <w:t>огласование бизнес-процессов: пользовательских, функциональных, интеграционных, системных и иных требований к ИС ИБД и программному обеспечению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К</w:t>
      </w:r>
      <w:r w:rsidR="000E5CBD" w:rsidRPr="000E5CBD">
        <w:t>онтроль сроков предоставления методологического материала от профильных подразделений.</w:t>
      </w:r>
      <w:r>
        <w:t xml:space="preserve"> </w:t>
      </w:r>
      <w:r w:rsidR="000E5CBD" w:rsidRPr="000E5CBD">
        <w:t>Согласование методик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С</w:t>
      </w:r>
      <w:r w:rsidR="000E5CBD" w:rsidRPr="000E5CBD">
        <w:t>овместно с разработчиком  подготовка и</w:t>
      </w:r>
      <w:r>
        <w:t xml:space="preserve"> утверждение архитектуры ИС ИБД. </w:t>
      </w:r>
    </w:p>
    <w:p w:rsidR="00D90108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О</w:t>
      </w:r>
      <w:r w:rsidR="000E5CBD" w:rsidRPr="000E5CBD">
        <w:t xml:space="preserve">существление управления проектом, контроль выполнения работ поставщиком по реализации ИС ИБД в соответствии </w:t>
      </w:r>
      <w:proofErr w:type="gramStart"/>
      <w:r w:rsidR="000E5CBD" w:rsidRPr="000E5CBD">
        <w:t>с</w:t>
      </w:r>
      <w:proofErr w:type="gramEnd"/>
      <w:r w:rsidR="000E5CBD" w:rsidRPr="000E5CBD">
        <w:t xml:space="preserve"> утвержденным План-графиком по реализации ИС ИБД. </w:t>
      </w:r>
      <w:r w:rsidR="000E5CBD" w:rsidRPr="000E5CBD">
        <w:lastRenderedPageBreak/>
        <w:t>Идентификация возникающих в проекте проблем и рисков, разработка решений по их ликвидации и выполнение управленческих действий по решению возникших проблем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У</w:t>
      </w:r>
      <w:r w:rsidR="000E5CBD" w:rsidRPr="000E5CBD">
        <w:t>частие в рабочей группе по управлению проектом по разработке/поставке и внедрению ИС ИБД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С</w:t>
      </w:r>
      <w:r w:rsidR="000E5CBD" w:rsidRPr="000E5CBD">
        <w:t>огласование проектной документации (СТПО, ПИМИ и др.), включая документацию по информационной безопасности, вводу в промышленную эксплуатацию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А</w:t>
      </w:r>
      <w:r w:rsidR="000E5CBD" w:rsidRPr="000E5CBD">
        <w:t>нализ, оценка и согласование проектных решений и требований, выставляемых профильными подразделениями КГД  МФ  РК в ходе разработки/поставки информационной системы. Выявление и оценка рисков при их реализации, а также соо</w:t>
      </w:r>
      <w:r>
        <w:t>тветствие их архитектуре ИС ИБД.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>существление контроля качества функционала ИС ИБД и его соответствие заявленным требованиям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У</w:t>
      </w:r>
      <w:r w:rsidR="000E5CBD" w:rsidRPr="000E5CBD">
        <w:t>частие в приемо-сдаточных испытаниях разработанного функционала ИС ИБД. Разработка методики нагрузочного тестирования для модулей и режимов ИС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А</w:t>
      </w:r>
      <w:r w:rsidR="000E5CBD" w:rsidRPr="000E5CBD">
        <w:t>нализ исходного кода разрабатываемой ИС ИБД на предмет отсутствия недостатков и уязвимостей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>рганизация и участие в мероприятиях по подготовке и вводу ИС ИБД в промышленную эксплуатацию, в том числе разработка необходимой нормативной и технической документации по проекту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С</w:t>
      </w:r>
      <w:r w:rsidR="000E5CBD" w:rsidRPr="000E5CBD">
        <w:t>овместно с разработчиком ИС ИБД организация мероприятий по пилотному (опытному) внедрению функционала ИС (взаимодействие с участниками проекта)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К</w:t>
      </w:r>
      <w:r w:rsidR="000E5CBD" w:rsidRPr="000E5CBD">
        <w:t>онтроль работы службы технической поддержки, в том числе контроль сроков предоставления ответов, контроль к</w:t>
      </w:r>
      <w:r>
        <w:t>ачества предоставляемых ответов.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У</w:t>
      </w:r>
      <w:r w:rsidR="000E5CBD" w:rsidRPr="000E5CBD">
        <w:t>частие в переговорах и совещаниях с другими государственными органами, организациями по взаимодействию с ними в части обеспечения интеграционных процессов ИС ИБД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У</w:t>
      </w:r>
      <w:r w:rsidR="000E5CBD" w:rsidRPr="000E5CBD">
        <w:t xml:space="preserve">частие в круглых столах, совещаниях с участниками системы по вопросам эксплуатации ИС. 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Р</w:t>
      </w:r>
      <w:r w:rsidR="000E5CBD" w:rsidRPr="000E5CBD">
        <w:t>азработка презентационных материалов (презентации, буклеты, сборники вопросов-ответов и др.) по ИС ИБД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>казание консультаций проектному офису «Повышение собираемости налогов» в рам</w:t>
      </w:r>
      <w:r>
        <w:t>ках проекта «Модернизация 3.0». К</w:t>
      </w:r>
      <w:r w:rsidR="000E5CBD" w:rsidRPr="000E5CBD">
        <w:t>онтроль синхронизации задач проектного офиса  с планом-графиком по реализации ИС ИБД.</w:t>
      </w:r>
    </w:p>
    <w:p w:rsidR="000E5CBD" w:rsidRP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 xml:space="preserve">казание консультации проектному офису по вопросам </w:t>
      </w:r>
      <w:proofErr w:type="spellStart"/>
      <w:r w:rsidR="000E5CBD" w:rsidRPr="000E5CBD">
        <w:t>цифровизации</w:t>
      </w:r>
      <w:proofErr w:type="spellEnd"/>
      <w:r w:rsidR="000E5CBD" w:rsidRPr="000E5CBD">
        <w:t xml:space="preserve"> деятельности органов государственных доходов в рамках проекта государственной программы «Цифровой Казахстан».</w:t>
      </w:r>
      <w:r>
        <w:t xml:space="preserve"> </w:t>
      </w:r>
      <w:r w:rsidR="000E5CBD" w:rsidRPr="000E5CBD">
        <w:t>Контроль синхронизации задач проектного офиса  с планом-графиком по реализации ИС ИБД.</w:t>
      </w:r>
    </w:p>
    <w:p w:rsidR="00BB06DA" w:rsidRPr="000E5CBD" w:rsidRDefault="00BB06DA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0E5CBD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0E5CBD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BB06DA" w:rsidRPr="000E5CBD" w:rsidRDefault="00BB06DA" w:rsidP="00DE6732">
      <w:pPr>
        <w:jc w:val="both"/>
        <w:outlineLvl w:val="0"/>
        <w:rPr>
          <w:rFonts w:eastAsia="Calibri"/>
          <w:b/>
          <w:lang w:eastAsia="en-US"/>
        </w:rPr>
      </w:pPr>
    </w:p>
    <w:tbl>
      <w:tblPr>
        <w:tblpPr w:leftFromText="180" w:rightFromText="180" w:bottomFromText="200" w:vertAnchor="text" w:tblpX="84" w:tblpY="1"/>
        <w:tblOverlap w:val="never"/>
        <w:tblW w:w="4963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284" w:type="dxa"/>
          <w:right w:w="284" w:type="dxa"/>
        </w:tblCellMar>
        <w:tblLook w:val="04A0"/>
      </w:tblPr>
      <w:tblGrid>
        <w:gridCol w:w="709"/>
        <w:gridCol w:w="4282"/>
        <w:gridCol w:w="4693"/>
      </w:tblGrid>
      <w:tr w:rsidR="00BB06DA" w:rsidRPr="000E5CBD" w:rsidTr="000E5CBD">
        <w:trPr>
          <w:trHeight w:val="315"/>
          <w:tblHeader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1" w:type="pct"/>
            <w:tcBorders>
              <w:top w:val="single" w:sz="6" w:space="0" w:color="000001"/>
              <w:left w:val="single" w:sz="6" w:space="0" w:color="CCCCCC"/>
              <w:bottom w:val="single" w:sz="4" w:space="0" w:color="auto"/>
              <w:right w:val="single" w:sz="6" w:space="0" w:color="00000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left="96" w:right="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требований</w:t>
            </w:r>
          </w:p>
        </w:tc>
        <w:tc>
          <w:tcPr>
            <w:tcW w:w="2423" w:type="pct"/>
            <w:tcBorders>
              <w:top w:val="single" w:sz="6" w:space="0" w:color="000001"/>
              <w:left w:val="single" w:sz="6" w:space="0" w:color="CCCCCC"/>
              <w:bottom w:val="single" w:sz="4" w:space="0" w:color="auto"/>
              <w:right w:val="single" w:sz="6" w:space="0" w:color="00000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left="97" w:right="2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Копия диплома о законченном высшем образовании 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Подтвержденный опыт работы в одной из должностей: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аналитик данных 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программного обеспечения 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баз данных 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не менее 5 лет.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Желательно, в  IT-проектах  налоговой </w:t>
            </w:r>
            <w:r w:rsidRPr="000E5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Один из следующих документов, подтверждающих опыт работы: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1) копии страниц документа (трудовой книги) с записями, подтверждающими наличие требуемого опыта; 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2) копии документов (трудовой договор) с отметкой работодателя о дате и основании его прекращения;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3) выписки из документов (актов) работодателя, подтверждающих </w:t>
            </w: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возникновение и прекращение трудовых отношений;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4) выписки из документов (ведомости) выдачи заработной платы работникам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Опыт работы со следующими технологиями будет преимуществом: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3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BigData</w:t>
            </w:r>
            <w:proofErr w:type="spellEnd"/>
          </w:p>
          <w:p w:rsidR="00BB06DA" w:rsidRPr="000E5CBD" w:rsidRDefault="00BB06DA" w:rsidP="000E5CBD">
            <w:pPr>
              <w:pStyle w:val="af"/>
              <w:numPr>
                <w:ilvl w:val="0"/>
                <w:numId w:val="23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Hadoop</w:t>
            </w:r>
            <w:proofErr w:type="spellEnd"/>
          </w:p>
          <w:p w:rsidR="00BB06DA" w:rsidRPr="000E5CBD" w:rsidRDefault="00BB06DA" w:rsidP="000E5CBD">
            <w:pPr>
              <w:pStyle w:val="af"/>
              <w:numPr>
                <w:ilvl w:val="0"/>
                <w:numId w:val="23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PostgreSQL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6DA" w:rsidRPr="000E5CBD" w:rsidRDefault="00BB06DA" w:rsidP="000E5CBD">
            <w:pPr>
              <w:spacing w:line="276" w:lineRule="auto"/>
              <w:jc w:val="both"/>
            </w:pPr>
            <w:r w:rsidRPr="000E5CBD">
              <w:rPr>
                <w:lang w:eastAsia="en-GB"/>
              </w:rPr>
              <w:t>Интервью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Знание языков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8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казахского и/или русского обязательное владение на уровне носителя, 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8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английского языка, как минимум на уровне чтения технических спецификаций.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spacing w:line="276" w:lineRule="auto"/>
              <w:jc w:val="both"/>
            </w:pPr>
            <w:r w:rsidRPr="000E5CBD">
              <w:rPr>
                <w:lang w:eastAsia="en-GB"/>
              </w:rPr>
              <w:t>Интервью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знаний и навыков: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информационных систем и\или баз данных.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поддержки интеграционных решений.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данных при внедрении новых информационных систем.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ГОСТ.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Обработки больших массивов данных.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Подтвержденный опыт работы (см. п.2)</w:t>
            </w:r>
          </w:p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Наличие рекомендательных писем</w:t>
            </w:r>
          </w:p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Копии соответствующих сертификатов</w:t>
            </w:r>
          </w:p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Техническое интервью кандидата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Желательно: Наличие знаний и навыков по реализации высоконагруженных, масштабируемых информационных систем на технологиях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Подтвержденный опыт работы (см. п.2)</w:t>
            </w:r>
          </w:p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Наличие рекомендательных писем</w:t>
            </w:r>
          </w:p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Копии соответствующих сертификатов</w:t>
            </w:r>
          </w:p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Техническое интервью кандидата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опыт управления командой в т.ч. распределённой с привлечением внештатных специалистов,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умение объяснять сложные технические вопросы простым языком,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умение и желание находить нестандартные решения,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опыт создания проектной документации и регламентов;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навыки управления изменениями.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Подтвержденный опыт работы (см. п.2)</w:t>
            </w:r>
          </w:p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Наличие рекомендательных писем</w:t>
            </w:r>
          </w:p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Копии соответствующих сертификатов</w:t>
            </w:r>
          </w:p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Техническое интервью кандидата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На время трудоустройства, постоянное нахождение (проживание) в городе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Подтверждающий документ (адресная справка).</w:t>
            </w:r>
          </w:p>
        </w:tc>
      </w:tr>
    </w:tbl>
    <w:p w:rsidR="00BB06DA" w:rsidRPr="00BB06DA" w:rsidRDefault="00BB06DA" w:rsidP="00BB06DA">
      <w:pPr>
        <w:widowControl w:val="0"/>
        <w:ind w:firstLine="709"/>
        <w:jc w:val="both"/>
        <w:rPr>
          <w:i/>
          <w:color w:val="000000" w:themeColor="text1"/>
          <w:lang w:eastAsia="en-GB"/>
        </w:rPr>
      </w:pPr>
      <w:r w:rsidRPr="00BB06DA">
        <w:rPr>
          <w:i/>
          <w:color w:val="000000" w:themeColor="text1"/>
          <w:lang w:eastAsia="en-GB"/>
        </w:rPr>
        <w:t>*с возможностью предоставления оригиналов по запросу КГД МФ РК.</w:t>
      </w:r>
    </w:p>
    <w:p w:rsidR="00BB06DA" w:rsidRPr="00BB06DA" w:rsidRDefault="00BB06DA" w:rsidP="00BB06DA">
      <w:pPr>
        <w:widowControl w:val="0"/>
        <w:ind w:firstLine="709"/>
        <w:jc w:val="both"/>
      </w:pPr>
    </w:p>
    <w:p w:rsidR="00BB06DA" w:rsidRPr="00BB06DA" w:rsidRDefault="00BB06DA" w:rsidP="00BB06DA">
      <w:pPr>
        <w:widowControl w:val="0"/>
        <w:ind w:firstLine="709"/>
        <w:jc w:val="both"/>
      </w:pPr>
      <w:r w:rsidRPr="00BB06DA">
        <w:t>Предоставление IT-консультантом документов, подтверждающих соответствие квалификационным требованиям на английском или другом иностранном языках, осуществляется с одновременным предоставлением таких документов с переводом на казахский и/или русский языки.</w:t>
      </w:r>
    </w:p>
    <w:p w:rsidR="00BB06DA" w:rsidRPr="00DE6732" w:rsidRDefault="00BB06DA" w:rsidP="00DE6732">
      <w:pPr>
        <w:jc w:val="both"/>
        <w:outlineLvl w:val="0"/>
        <w:rPr>
          <w:rFonts w:eastAsia="Calibri"/>
          <w:b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>до 31 декабря 2019 года включительно с возможным продлением контракта в зависимости от качества услуг Консультанта и сроков реализации Проекта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D67724" w:rsidRPr="00D67724">
        <w:rPr>
          <w:b/>
          <w:spacing w:val="-2"/>
        </w:rPr>
        <w:t xml:space="preserve">28 </w:t>
      </w:r>
      <w:r w:rsidR="00D67724">
        <w:rPr>
          <w:b/>
          <w:spacing w:val="-2"/>
        </w:rPr>
        <w:t>августа</w:t>
      </w:r>
      <w:r w:rsidRPr="003E5D29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201</w:t>
      </w:r>
      <w:r w:rsidR="00DE6732">
        <w:rPr>
          <w:b/>
          <w:spacing w:val="-2"/>
        </w:rPr>
        <w:t>9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</w:t>
      </w:r>
      <w:bookmarkStart w:id="0" w:name="_GoBack"/>
      <w:bookmarkEnd w:id="0"/>
      <w:r w:rsidRPr="003E5D29">
        <w:rPr>
          <w:b/>
          <w:spacing w:val="-2"/>
        </w:rPr>
        <w:t>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3E5D29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 w:rsidR="00BB06DA">
        <w:rPr>
          <w:iCs/>
          <w:spacing w:val="-2"/>
        </w:rPr>
        <w:t>Камшат</w:t>
      </w:r>
      <w:proofErr w:type="spellEnd"/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, </w:t>
      </w:r>
      <w:r w:rsidR="00BB06DA">
        <w:rPr>
          <w:iCs/>
          <w:spacing w:val="-2"/>
        </w:rPr>
        <w:t>консультанта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Нур-Султан</w:t>
      </w:r>
      <w:proofErr w:type="spellEnd"/>
      <w:r w:rsidRPr="00D4135B">
        <w:rPr>
          <w:iCs/>
          <w:spacing w:val="-2"/>
        </w:rPr>
        <w:t>, 010000</w:t>
      </w:r>
    </w:p>
    <w:p w:rsidR="00D4135B" w:rsidRPr="00DE6732" w:rsidRDefault="00BB06DA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BB06DA">
        <w:rPr>
          <w:iCs/>
          <w:spacing w:val="-2"/>
        </w:rPr>
        <w:t> 527 1103</w:t>
      </w:r>
    </w:p>
    <w:p w:rsidR="003E5D29" w:rsidRPr="00DE6732" w:rsidRDefault="003E5D29" w:rsidP="003E5D29">
      <w:pPr>
        <w:suppressAutoHyphens/>
        <w:rPr>
          <w:iCs/>
          <w:spacing w:val="-2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DE6732">
        <w:rPr>
          <w:iCs/>
          <w:spacing w:val="-2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DE6732">
        <w:rPr>
          <w:iCs/>
          <w:spacing w:val="-2"/>
        </w:rPr>
        <w:t xml:space="preserve">: </w:t>
      </w:r>
      <w:hyperlink r:id="rId7" w:history="1">
        <w:r w:rsidRPr="003E5D29">
          <w:rPr>
            <w:rStyle w:val="a8"/>
            <w:iCs/>
            <w:spacing w:val="-2"/>
            <w:lang w:val="en-US"/>
          </w:rPr>
          <w:t>taxreformkz</w:t>
        </w:r>
        <w:r w:rsidRPr="00DE6732">
          <w:rPr>
            <w:rStyle w:val="a8"/>
            <w:iCs/>
            <w:spacing w:val="-2"/>
          </w:rPr>
          <w:t>@</w:t>
        </w:r>
        <w:r w:rsidRPr="003E5D29">
          <w:rPr>
            <w:rStyle w:val="a8"/>
            <w:iCs/>
            <w:spacing w:val="-2"/>
            <w:lang w:val="en-US"/>
          </w:rPr>
          <w:t>gmail</w:t>
        </w:r>
        <w:r w:rsidRPr="00DE6732">
          <w:rPr>
            <w:rStyle w:val="a8"/>
            <w:iCs/>
            <w:spacing w:val="-2"/>
          </w:rPr>
          <w:t>.</w:t>
        </w:r>
        <w:r w:rsidRPr="003E5D29">
          <w:rPr>
            <w:rStyle w:val="a8"/>
            <w:iCs/>
            <w:spacing w:val="-2"/>
            <w:lang w:val="en-US"/>
          </w:rPr>
          <w:t>com</w:t>
        </w:r>
      </w:hyperlink>
    </w:p>
    <w:sectPr w:rsidR="003E5D29" w:rsidRPr="00DE6732" w:rsidSect="00F32B8E">
      <w:footerReference w:type="default" r:id="rId8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B8" w:rsidRDefault="001C58B8">
      <w:r>
        <w:separator/>
      </w:r>
    </w:p>
  </w:endnote>
  <w:endnote w:type="continuationSeparator" w:id="0">
    <w:p w:rsidR="001C58B8" w:rsidRDefault="001C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B8" w:rsidRDefault="001C58B8">
      <w:r>
        <w:separator/>
      </w:r>
    </w:p>
  </w:footnote>
  <w:footnote w:type="continuationSeparator" w:id="0">
    <w:p w:rsidR="001C58B8" w:rsidRDefault="001C5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CC5"/>
    <w:multiLevelType w:val="hybridMultilevel"/>
    <w:tmpl w:val="C97ACE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533E0"/>
    <w:multiLevelType w:val="hybridMultilevel"/>
    <w:tmpl w:val="9330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8D8"/>
    <w:multiLevelType w:val="hybridMultilevel"/>
    <w:tmpl w:val="3D8E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41B4BBA"/>
    <w:multiLevelType w:val="hybridMultilevel"/>
    <w:tmpl w:val="01D0DC52"/>
    <w:lvl w:ilvl="0" w:tplc="C1EE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761F3"/>
    <w:multiLevelType w:val="hybridMultilevel"/>
    <w:tmpl w:val="E79A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95654"/>
    <w:multiLevelType w:val="multilevel"/>
    <w:tmpl w:val="29F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F77CA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5C000E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26CD3"/>
    <w:multiLevelType w:val="hybridMultilevel"/>
    <w:tmpl w:val="792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CF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28"/>
  </w:num>
  <w:num w:numId="5">
    <w:abstractNumId w:val="10"/>
  </w:num>
  <w:num w:numId="6">
    <w:abstractNumId w:val="17"/>
  </w:num>
  <w:num w:numId="7">
    <w:abstractNumId w:val="16"/>
  </w:num>
  <w:num w:numId="8">
    <w:abstractNumId w:val="5"/>
  </w:num>
  <w:num w:numId="9">
    <w:abstractNumId w:val="15"/>
  </w:num>
  <w:num w:numId="10">
    <w:abstractNumId w:val="4"/>
  </w:num>
  <w:num w:numId="11">
    <w:abstractNumId w:val="22"/>
  </w:num>
  <w:num w:numId="12">
    <w:abstractNumId w:val="8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18"/>
  </w:num>
  <w:num w:numId="23">
    <w:abstractNumId w:val="0"/>
  </w:num>
  <w:num w:numId="24">
    <w:abstractNumId w:val="20"/>
  </w:num>
  <w:num w:numId="25">
    <w:abstractNumId w:val="27"/>
  </w:num>
  <w:num w:numId="26">
    <w:abstractNumId w:val="26"/>
  </w:num>
  <w:num w:numId="27">
    <w:abstractNumId w:val="2"/>
  </w:num>
  <w:num w:numId="28">
    <w:abstractNumId w:val="11"/>
  </w:num>
  <w:num w:numId="29">
    <w:abstractNumId w:val="7"/>
  </w:num>
  <w:num w:numId="30">
    <w:abstractNumId w:val="2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5389"/>
    <w:rsid w:val="00037A7B"/>
    <w:rsid w:val="000844DF"/>
    <w:rsid w:val="000960E4"/>
    <w:rsid w:val="000A0855"/>
    <w:rsid w:val="000A4494"/>
    <w:rsid w:val="000A6F7B"/>
    <w:rsid w:val="000E5CBD"/>
    <w:rsid w:val="000F5AEE"/>
    <w:rsid w:val="00107746"/>
    <w:rsid w:val="001201F3"/>
    <w:rsid w:val="00126A4B"/>
    <w:rsid w:val="001404A9"/>
    <w:rsid w:val="00141C77"/>
    <w:rsid w:val="00160482"/>
    <w:rsid w:val="001608E0"/>
    <w:rsid w:val="00163448"/>
    <w:rsid w:val="001C58B8"/>
    <w:rsid w:val="002003DF"/>
    <w:rsid w:val="0022470E"/>
    <w:rsid w:val="002570C0"/>
    <w:rsid w:val="0027682D"/>
    <w:rsid w:val="002954DD"/>
    <w:rsid w:val="002B1CFA"/>
    <w:rsid w:val="002B286E"/>
    <w:rsid w:val="002B4CCD"/>
    <w:rsid w:val="002D5D6E"/>
    <w:rsid w:val="00320DC0"/>
    <w:rsid w:val="00332AC2"/>
    <w:rsid w:val="00357D5E"/>
    <w:rsid w:val="00364F2B"/>
    <w:rsid w:val="003925CC"/>
    <w:rsid w:val="003A05B0"/>
    <w:rsid w:val="003D26A3"/>
    <w:rsid w:val="003E353F"/>
    <w:rsid w:val="003E5D29"/>
    <w:rsid w:val="00414AFE"/>
    <w:rsid w:val="0043249C"/>
    <w:rsid w:val="00446C14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2CFA"/>
    <w:rsid w:val="00593A44"/>
    <w:rsid w:val="005A0819"/>
    <w:rsid w:val="005B7393"/>
    <w:rsid w:val="005C3AEB"/>
    <w:rsid w:val="005C41C7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40989"/>
    <w:rsid w:val="00950F5E"/>
    <w:rsid w:val="009B2882"/>
    <w:rsid w:val="009B63AE"/>
    <w:rsid w:val="009E77DA"/>
    <w:rsid w:val="00A12757"/>
    <w:rsid w:val="00A25CD9"/>
    <w:rsid w:val="00A54819"/>
    <w:rsid w:val="00A66550"/>
    <w:rsid w:val="00A77E71"/>
    <w:rsid w:val="00A81C88"/>
    <w:rsid w:val="00A90660"/>
    <w:rsid w:val="00AB236B"/>
    <w:rsid w:val="00AB23FB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6DA"/>
    <w:rsid w:val="00BB0DF8"/>
    <w:rsid w:val="00BE4127"/>
    <w:rsid w:val="00BE5769"/>
    <w:rsid w:val="00C40E8C"/>
    <w:rsid w:val="00C568F0"/>
    <w:rsid w:val="00C72E93"/>
    <w:rsid w:val="00C80639"/>
    <w:rsid w:val="00CB60A1"/>
    <w:rsid w:val="00CF283F"/>
    <w:rsid w:val="00D000FB"/>
    <w:rsid w:val="00D34704"/>
    <w:rsid w:val="00D402E8"/>
    <w:rsid w:val="00D4135B"/>
    <w:rsid w:val="00D46180"/>
    <w:rsid w:val="00D6568D"/>
    <w:rsid w:val="00D67724"/>
    <w:rsid w:val="00D765BB"/>
    <w:rsid w:val="00D90108"/>
    <w:rsid w:val="00D95F19"/>
    <w:rsid w:val="00DC310E"/>
    <w:rsid w:val="00DE6732"/>
    <w:rsid w:val="00DF242B"/>
    <w:rsid w:val="00DF6AA2"/>
    <w:rsid w:val="00DF750D"/>
    <w:rsid w:val="00E4438A"/>
    <w:rsid w:val="00E46F15"/>
    <w:rsid w:val="00E75CB2"/>
    <w:rsid w:val="00EC432B"/>
    <w:rsid w:val="00EE6AF1"/>
    <w:rsid w:val="00F05389"/>
    <w:rsid w:val="00F26073"/>
    <w:rsid w:val="00F32B8E"/>
    <w:rsid w:val="00F35425"/>
    <w:rsid w:val="00F453D4"/>
    <w:rsid w:val="00F66DE3"/>
    <w:rsid w:val="00F77E5A"/>
    <w:rsid w:val="00F96176"/>
    <w:rsid w:val="00FB60E8"/>
    <w:rsid w:val="00FC2AFA"/>
    <w:rsid w:val="00FC6A59"/>
    <w:rsid w:val="00F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9219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Алмас Утельбаев</cp:lastModifiedBy>
  <cp:revision>9</cp:revision>
  <cp:lastPrinted>2017-06-27T09:09:00Z</cp:lastPrinted>
  <dcterms:created xsi:type="dcterms:W3CDTF">2019-07-03T09:42:00Z</dcterms:created>
  <dcterms:modified xsi:type="dcterms:W3CDTF">2019-08-07T16:44:00Z</dcterms:modified>
</cp:coreProperties>
</file>