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24" w:rsidRDefault="00653024" w:rsidP="00653024">
      <w:pPr>
        <w:pStyle w:val="a3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 w:rsidRPr="00653024">
        <w:rPr>
          <w:rFonts w:ascii="Arial" w:hAnsi="Arial"/>
          <w:b/>
          <w:bCs/>
        </w:rPr>
        <w:t>Әлемдік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бағаны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шығ</w:t>
      </w:r>
      <w:proofErr w:type="gramStart"/>
      <w:r w:rsidRPr="00653024">
        <w:rPr>
          <w:rFonts w:ascii="Arial" w:hAnsi="Arial"/>
          <w:b/>
          <w:bCs/>
        </w:rPr>
        <w:t>ару</w:t>
      </w:r>
      <w:proofErr w:type="gramEnd"/>
      <w:r w:rsidRPr="00653024">
        <w:rPr>
          <w:rFonts w:ascii="Arial" w:hAnsi="Arial"/>
          <w:b/>
          <w:bCs/>
        </w:rPr>
        <w:t>ға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қатысты</w:t>
      </w:r>
      <w:proofErr w:type="spellEnd"/>
      <w:r w:rsidRPr="00653024">
        <w:rPr>
          <w:rFonts w:ascii="Arial" w:hAnsi="Arial"/>
          <w:b/>
          <w:bCs/>
        </w:rPr>
        <w:t xml:space="preserve"> газ конденсаты, </w:t>
      </w:r>
      <w:proofErr w:type="spellStart"/>
      <w:r w:rsidRPr="00653024">
        <w:rPr>
          <w:rFonts w:ascii="Arial" w:hAnsi="Arial"/>
          <w:b/>
          <w:bCs/>
        </w:rPr>
        <w:t>шикі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мұнай</w:t>
      </w:r>
      <w:proofErr w:type="spellEnd"/>
      <w:r w:rsidRPr="00653024">
        <w:rPr>
          <w:rFonts w:ascii="Arial" w:hAnsi="Arial"/>
          <w:b/>
          <w:bCs/>
        </w:rPr>
        <w:t xml:space="preserve"> стандарт </w:t>
      </w:r>
      <w:proofErr w:type="spellStart"/>
      <w:r w:rsidRPr="00653024">
        <w:rPr>
          <w:rFonts w:ascii="Arial" w:hAnsi="Arial"/>
          <w:b/>
          <w:bCs/>
        </w:rPr>
        <w:t>түрлері</w:t>
      </w:r>
      <w:proofErr w:type="spellEnd"/>
      <w:r w:rsidRPr="00653024">
        <w:rPr>
          <w:rFonts w:ascii="Arial" w:hAnsi="Arial"/>
          <w:b/>
          <w:bCs/>
        </w:rPr>
        <w:t> </w:t>
      </w:r>
      <w:proofErr w:type="spellStart"/>
      <w:r w:rsidRPr="00653024">
        <w:rPr>
          <w:rFonts w:ascii="Arial" w:hAnsi="Arial"/>
          <w:b/>
          <w:bCs/>
        </w:rPr>
        <w:t>Салық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кодексінің</w:t>
      </w:r>
      <w:proofErr w:type="spellEnd"/>
      <w:r w:rsidRPr="00653024">
        <w:rPr>
          <w:rFonts w:ascii="Arial" w:hAnsi="Arial"/>
          <w:b/>
          <w:bCs/>
        </w:rPr>
        <w:t xml:space="preserve"> 334 бабы 6 </w:t>
      </w:r>
      <w:proofErr w:type="spellStart"/>
      <w:r w:rsidRPr="00653024">
        <w:rPr>
          <w:rFonts w:ascii="Arial" w:hAnsi="Arial"/>
          <w:b/>
          <w:bCs/>
        </w:rPr>
        <w:t>тармағына</w:t>
      </w:r>
      <w:proofErr w:type="spellEnd"/>
      <w:r w:rsidRPr="00653024">
        <w:rPr>
          <w:rFonts w:ascii="Arial" w:hAnsi="Arial"/>
          <w:b/>
          <w:bCs/>
        </w:rPr>
        <w:t xml:space="preserve"> </w:t>
      </w:r>
      <w:proofErr w:type="spellStart"/>
      <w:r w:rsidRPr="00653024">
        <w:rPr>
          <w:rFonts w:ascii="Arial" w:hAnsi="Arial"/>
          <w:b/>
          <w:bCs/>
        </w:rPr>
        <w:t>сәйкес</w:t>
      </w:r>
      <w:proofErr w:type="spellEnd"/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  <w:bookmarkStart w:id="0" w:name="_GoBack"/>
      <w:bookmarkEnd w:id="0"/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желтоқсандағы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бюджетке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төленетін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бас</w:t>
      </w:r>
      <w:proofErr w:type="gramEnd"/>
      <w:r>
        <w:rPr>
          <w:rFonts w:ascii="Arial" w:hAnsi="Arial" w:cs="Arial"/>
          <w:color w:val="222222"/>
          <w:sz w:val="21"/>
          <w:szCs w:val="21"/>
        </w:rPr>
        <w:t>қа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төлемдер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бұдан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ары –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334 бабы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gramEnd"/>
      <w:r>
        <w:rPr>
          <w:rFonts w:ascii="Arial" w:hAnsi="Arial" w:cs="Arial"/>
          <w:color w:val="222222"/>
          <w:sz w:val="21"/>
          <w:szCs w:val="21"/>
        </w:rPr>
        <w:t>нiң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тиiстi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тиiстi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теңгенiң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көбейтiндiсi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ретiнде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төменде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келтiрiлген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Осы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тармақтың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үшiн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ан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негiзiнде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әрбірiн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алғанда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валютасындағы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бiлдiредi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мен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мынадай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 </w:t>
      </w:r>
    </w:p>
    <w:p w:rsidR="00653024" w:rsidRP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S </w:t>
      </w:r>
      <w:proofErr w:type="gramStart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=  (</w:t>
      </w:r>
      <w:proofErr w:type="gram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(P</w:t>
      </w:r>
      <w:r w:rsidRPr="00653024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1 +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> P</w:t>
      </w:r>
      <w:r w:rsidRPr="00653024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2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 +… + </w:t>
      </w:r>
      <w:r>
        <w:rPr>
          <w:rFonts w:ascii="Arial" w:hAnsi="Arial" w:cs="Arial"/>
          <w:color w:val="222222"/>
          <w:sz w:val="21"/>
          <w:szCs w:val="21"/>
        </w:rPr>
        <w:t>Р</w:t>
      </w:r>
      <w:r w:rsidRPr="00653024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 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) / n) * </w:t>
      </w:r>
      <w:r>
        <w:rPr>
          <w:rFonts w:ascii="Arial" w:hAnsi="Arial" w:cs="Arial"/>
          <w:color w:val="222222"/>
          <w:sz w:val="21"/>
          <w:szCs w:val="21"/>
        </w:rPr>
        <w:t>Е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мұнда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653024" w:rsidRP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S -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proofErr w:type="gram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шик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мен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газ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 w:rsidRPr="00653024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1</w:t>
      </w:r>
      <w:proofErr w:type="gram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222222"/>
          <w:sz w:val="21"/>
          <w:szCs w:val="21"/>
        </w:rPr>
        <w:t>Р</w:t>
      </w:r>
      <w:r w:rsidRPr="00653024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2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..., </w:t>
      </w:r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n</w:t>
      </w:r>
      <w:proofErr w:type="gram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ш</w:t>
      </w:r>
      <w:r w:rsidRPr="00653024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бағаларының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күндер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653024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Е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gramEnd"/>
      <w:r>
        <w:rPr>
          <w:rFonts w:ascii="Arial" w:hAnsi="Arial" w:cs="Arial"/>
          <w:color w:val="222222"/>
          <w:sz w:val="21"/>
          <w:szCs w:val="21"/>
        </w:rPr>
        <w:t>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тиiстi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теңгенiң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n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күндерд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gramEnd"/>
      <w:r>
        <w:rPr>
          <w:rFonts w:ascii="Arial" w:hAnsi="Arial" w:cs="Arial"/>
          <w:color w:val="222222"/>
          <w:sz w:val="21"/>
          <w:szCs w:val="21"/>
        </w:rPr>
        <w:t>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саны.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ба</w:t>
      </w:r>
      <w:proofErr w:type="gramEnd"/>
      <w:r>
        <w:rPr>
          <w:rFonts w:ascii="Arial" w:hAnsi="Arial" w:cs="Arial"/>
          <w:color w:val="222222"/>
          <w:sz w:val="21"/>
          <w:szCs w:val="21"/>
        </w:rPr>
        <w:t>ғамдалуы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</w:t>
      </w:r>
    </w:p>
    <w:p w:rsid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=  (С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 +</w:t>
      </w:r>
      <w:r>
        <w:rPr>
          <w:rFonts w:ascii="Arial" w:hAnsi="Arial" w:cs="Arial"/>
          <w:color w:val="222222"/>
          <w:sz w:val="21"/>
          <w:szCs w:val="21"/>
        </w:rPr>
        <w:t> 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</w:t>
      </w:r>
      <w:proofErr w:type="gramStart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 </w:t>
      </w:r>
      <w:r>
        <w:rPr>
          <w:rFonts w:ascii="Arial" w:hAnsi="Arial" w:cs="Arial"/>
          <w:color w:val="222222"/>
          <w:sz w:val="21"/>
          <w:szCs w:val="21"/>
        </w:rPr>
        <w:t>)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/ 2,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n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</w:p>
    <w:p w:rsid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 </w:t>
      </w:r>
      <w:r>
        <w:rPr>
          <w:rFonts w:ascii="Arial" w:hAnsi="Arial" w:cs="Arial"/>
          <w:color w:val="222222"/>
          <w:sz w:val="21"/>
          <w:szCs w:val="21"/>
        </w:rPr>
        <w:t>-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күнделiктi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төменгi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 </w:t>
      </w:r>
      <w:r>
        <w:rPr>
          <w:rFonts w:ascii="Arial" w:hAnsi="Arial" w:cs="Arial"/>
          <w:color w:val="222222"/>
          <w:sz w:val="21"/>
          <w:szCs w:val="21"/>
        </w:rPr>
        <w:t>-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күнделiктi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max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Сонымен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мен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курс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тенгесінде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қолданылады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lastRenderedPageBreak/>
        <w:t>Жоғарыда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көрсетілген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негізде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334 бабы 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пайдалы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қазбаны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өндіру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салығын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мен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негiзiнде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анық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талғаны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құрайды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маркасының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м</w:t>
      </w:r>
      <w:proofErr w:type="gramEnd"/>
      <w:r>
        <w:rPr>
          <w:rFonts w:ascii="Arial" w:hAnsi="Arial" w:cs="Arial"/>
          <w:color w:val="222222"/>
          <w:sz w:val="21"/>
          <w:szCs w:val="21"/>
        </w:rPr>
        <w:t>ұнайы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баррель: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– 9 958,81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– 11 500,09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10 911,68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13 138,92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маркасының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баррель: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9 830,29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11 569,66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10 793,77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12 789,58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банкісінің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сайтында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курс АҚШ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долларының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тоқсандық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түрде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:</w:t>
      </w:r>
      <w:proofErr w:type="gramEnd"/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- 184,64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- 185,86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- 216,20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300,22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334 бабы 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табиғи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газға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әлемдік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жариялауға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пайдалы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қазбаны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өндіру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салығын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Zeebrugge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Day-Ahead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табиғи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газға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әлемдік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 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Daily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негiзiнде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анық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талғаны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, 1000 куб метр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құрайды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46 913,50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45 487,14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50 262,24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59 044,97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Ұлттық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банкісінің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сайтында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курс АҚШ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долларының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тоқсандық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ресми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түрде</w:t>
      </w:r>
      <w:proofErr w:type="spellEnd"/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:</w:t>
      </w:r>
      <w:proofErr w:type="gramEnd"/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- 184,64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- 185,86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- 216,20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- 2015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  – 300,22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</w:p>
    <w:p w:rsidR="00653024" w:rsidRDefault="00653024" w:rsidP="00653024">
      <w:pPr>
        <w:pStyle w:val="a3"/>
        <w:shd w:val="clear" w:color="auto" w:fill="FFFFFF"/>
        <w:spacing w:line="294" w:lineRule="atLeast"/>
        <w:rPr>
          <w:rFonts w:ascii="Arial" w:hAnsi="Arial" w:cs="Arial"/>
          <w:color w:val="222222"/>
          <w:sz w:val="21"/>
          <w:szCs w:val="21"/>
        </w:rPr>
      </w:pPr>
    </w:p>
    <w:p w:rsidR="00653024" w:rsidRPr="00653024" w:rsidRDefault="00653024" w:rsidP="00653024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</w:p>
    <w:p w:rsidR="00627D0A" w:rsidRPr="00653024" w:rsidRDefault="00627D0A"/>
    <w:sectPr w:rsidR="00627D0A" w:rsidRPr="0065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24"/>
    <w:rsid w:val="005E0339"/>
    <w:rsid w:val="00627D0A"/>
    <w:rsid w:val="0065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24"/>
    <w:rPr>
      <w:b/>
      <w:bCs/>
    </w:rPr>
  </w:style>
  <w:style w:type="paragraph" w:customStyle="1" w:styleId="rtejustify">
    <w:name w:val="rtejustify"/>
    <w:basedOn w:val="a"/>
    <w:rsid w:val="006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024"/>
    <w:rPr>
      <w:b/>
      <w:bCs/>
    </w:rPr>
  </w:style>
  <w:style w:type="paragraph" w:customStyle="1" w:styleId="rtejustify">
    <w:name w:val="rtejustify"/>
    <w:basedOn w:val="a"/>
    <w:rsid w:val="0065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2016-04-13T04:32:00Z</dcterms:created>
  <dcterms:modified xsi:type="dcterms:W3CDTF">2016-04-13T04:34:00Z</dcterms:modified>
</cp:coreProperties>
</file>