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77FFB" w:rsidRPr="00711BAB">
        <w:rPr>
          <w:rFonts w:eastAsia="Calibri"/>
          <w:sz w:val="22"/>
          <w:szCs w:val="21"/>
          <w:lang w:eastAsia="en-US"/>
        </w:rPr>
        <w:t>УАНБАЕВ ЖАСУЛАН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277FFB" w:rsidRPr="00711BAB">
        <w:rPr>
          <w:rFonts w:eastAsia="Calibri"/>
          <w:sz w:val="22"/>
          <w:szCs w:val="21"/>
          <w:lang w:eastAsia="en-US"/>
        </w:rPr>
        <w:t>COMPANY ASPARA</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77FFB" w:rsidRPr="00711BAB">
        <w:rPr>
          <w:rFonts w:eastAsia="Calibri"/>
          <w:sz w:val="22"/>
          <w:szCs w:val="21"/>
          <w:lang w:eastAsia="en-US"/>
        </w:rPr>
        <w:t>000840000395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277FFB">
        <w:rPr>
          <w:b/>
          <w:sz w:val="24"/>
          <w:szCs w:val="24"/>
          <w:lang w:val="kk-KZ"/>
        </w:rPr>
        <w:t>29</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77FF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64C"/>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2015-10-13T05:57:00Z</dcterms:created>
  <dcterms:modified xsi:type="dcterms:W3CDTF">2015-10-13T05:57:00Z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