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710" w:rsidRDefault="00576710" w:rsidP="00576710">
      <w:pPr>
        <w:spacing w:after="0"/>
        <w:jc w:val="center"/>
        <w:rPr>
          <w:rFonts w:ascii="Times New Roman" w:hAnsi="Times New Roman" w:cs="Times New Roman"/>
          <w:b/>
          <w:color w:val="000000"/>
          <w:sz w:val="28"/>
          <w:szCs w:val="28"/>
          <w:lang w:val="en-US"/>
        </w:rPr>
      </w:pPr>
      <w:bookmarkStart w:id="0" w:name="_GoBack"/>
      <w:bookmarkEnd w:id="0"/>
      <w:r w:rsidRPr="00533534">
        <w:rPr>
          <w:rFonts w:ascii="Times New Roman" w:hAnsi="Times New Roman" w:cs="Times New Roman"/>
          <w:b/>
          <w:bCs/>
          <w:color w:val="000000"/>
          <w:sz w:val="28"/>
          <w:szCs w:val="28"/>
          <w:lang w:val="en-US"/>
        </w:rPr>
        <w:t xml:space="preserve">Synthesised text of the Multilateral Convention to Implement Tax Treaty Related Measures to Prevent Base Erosion and Profit Shifting (MLI) and the </w:t>
      </w:r>
      <w:r w:rsidRPr="00533534">
        <w:rPr>
          <w:rFonts w:ascii="Times New Roman" w:hAnsi="Times New Roman" w:cs="Times New Roman"/>
          <w:b/>
          <w:color w:val="000000"/>
          <w:sz w:val="28"/>
          <w:szCs w:val="28"/>
          <w:lang w:val="en-US"/>
        </w:rPr>
        <w:t>Convention</w:t>
      </w:r>
      <w:r w:rsidR="00533534">
        <w:rPr>
          <w:rFonts w:ascii="Times New Roman" w:hAnsi="Times New Roman" w:cs="Times New Roman"/>
          <w:b/>
          <w:color w:val="000000"/>
          <w:sz w:val="28"/>
          <w:szCs w:val="28"/>
          <w:lang w:val="kk-KZ"/>
        </w:rPr>
        <w:t xml:space="preserve"> </w:t>
      </w:r>
      <w:r w:rsidRPr="00533534">
        <w:rPr>
          <w:rFonts w:ascii="Times New Roman" w:hAnsi="Times New Roman" w:cs="Times New Roman"/>
          <w:b/>
          <w:color w:val="000000"/>
          <w:sz w:val="28"/>
          <w:szCs w:val="28"/>
          <w:lang w:val="en-US"/>
        </w:rPr>
        <w:t>between the Republic of Kazakhstan</w:t>
      </w:r>
      <w:r w:rsidR="00533534">
        <w:rPr>
          <w:rFonts w:ascii="Times New Roman" w:hAnsi="Times New Roman" w:cs="Times New Roman"/>
          <w:b/>
          <w:color w:val="000000"/>
          <w:sz w:val="28"/>
          <w:szCs w:val="28"/>
          <w:lang w:val="kk-KZ"/>
        </w:rPr>
        <w:t xml:space="preserve"> </w:t>
      </w:r>
      <w:r w:rsidRPr="00533534">
        <w:rPr>
          <w:rFonts w:ascii="Times New Roman" w:hAnsi="Times New Roman" w:cs="Times New Roman"/>
          <w:b/>
          <w:color w:val="000000"/>
          <w:sz w:val="28"/>
          <w:szCs w:val="28"/>
          <w:lang w:val="en-US"/>
        </w:rPr>
        <w:t>and</w:t>
      </w:r>
      <w:r w:rsidR="00533534">
        <w:rPr>
          <w:rFonts w:ascii="Times New Roman" w:hAnsi="Times New Roman" w:cs="Times New Roman"/>
          <w:b/>
          <w:color w:val="000000"/>
          <w:sz w:val="28"/>
          <w:szCs w:val="28"/>
          <w:lang w:val="kk-KZ"/>
        </w:rPr>
        <w:t xml:space="preserve"> </w:t>
      </w:r>
      <w:r w:rsidRPr="00533534">
        <w:rPr>
          <w:rFonts w:ascii="Times New Roman" w:hAnsi="Times New Roman" w:cs="Times New Roman"/>
          <w:b/>
          <w:color w:val="000000"/>
          <w:sz w:val="28"/>
          <w:szCs w:val="28"/>
          <w:lang w:val="en-US"/>
        </w:rPr>
        <w:t>the S</w:t>
      </w:r>
      <w:r w:rsidR="00533534" w:rsidRPr="00533534">
        <w:rPr>
          <w:rFonts w:ascii="Times New Roman" w:hAnsi="Times New Roman" w:cs="Times New Roman"/>
          <w:b/>
          <w:color w:val="000000"/>
          <w:sz w:val="28"/>
          <w:szCs w:val="28"/>
          <w:lang w:val="en-US"/>
        </w:rPr>
        <w:t>lovak</w:t>
      </w:r>
      <w:r w:rsidRPr="00533534">
        <w:rPr>
          <w:rFonts w:ascii="Times New Roman" w:hAnsi="Times New Roman" w:cs="Times New Roman"/>
          <w:b/>
          <w:color w:val="000000"/>
          <w:sz w:val="28"/>
          <w:szCs w:val="28"/>
          <w:lang w:val="en-US"/>
        </w:rPr>
        <w:t xml:space="preserve"> R</w:t>
      </w:r>
      <w:r w:rsidR="00533534" w:rsidRPr="00533534">
        <w:rPr>
          <w:rFonts w:ascii="Times New Roman" w:hAnsi="Times New Roman" w:cs="Times New Roman"/>
          <w:b/>
          <w:color w:val="000000"/>
          <w:sz w:val="28"/>
          <w:szCs w:val="28"/>
          <w:lang w:val="en-US"/>
        </w:rPr>
        <w:t>epublic</w:t>
      </w:r>
      <w:r w:rsidRPr="00533534">
        <w:rPr>
          <w:rFonts w:ascii="Times New Roman" w:hAnsi="Times New Roman" w:cs="Times New Roman"/>
          <w:sz w:val="28"/>
          <w:szCs w:val="28"/>
          <w:lang w:val="en-US"/>
        </w:rPr>
        <w:br/>
      </w:r>
      <w:r w:rsidR="00533534" w:rsidRPr="00533534">
        <w:rPr>
          <w:rFonts w:ascii="Times New Roman" w:hAnsi="Times New Roman" w:cs="Times New Roman"/>
          <w:b/>
          <w:color w:val="000000"/>
          <w:sz w:val="28"/>
          <w:szCs w:val="28"/>
          <w:lang w:val="en-US"/>
        </w:rPr>
        <w:t>for the</w:t>
      </w:r>
      <w:r w:rsidRPr="00533534">
        <w:rPr>
          <w:rFonts w:ascii="Times New Roman" w:hAnsi="Times New Roman" w:cs="Times New Roman"/>
          <w:b/>
          <w:color w:val="000000"/>
          <w:sz w:val="28"/>
          <w:szCs w:val="28"/>
          <w:lang w:val="en-US"/>
        </w:rPr>
        <w:t xml:space="preserve"> </w:t>
      </w:r>
      <w:r w:rsidR="00533534" w:rsidRPr="00533534">
        <w:rPr>
          <w:rFonts w:ascii="Times New Roman" w:hAnsi="Times New Roman" w:cs="Times New Roman"/>
          <w:b/>
          <w:color w:val="000000"/>
          <w:sz w:val="28"/>
          <w:szCs w:val="28"/>
          <w:lang w:val="en-US"/>
        </w:rPr>
        <w:t>avoidance of double taxation and the</w:t>
      </w:r>
      <w:r w:rsidR="00533534">
        <w:rPr>
          <w:rFonts w:ascii="Times New Roman" w:hAnsi="Times New Roman" w:cs="Times New Roman"/>
          <w:b/>
          <w:color w:val="000000"/>
          <w:sz w:val="28"/>
          <w:szCs w:val="28"/>
          <w:lang w:val="kk-KZ"/>
        </w:rPr>
        <w:t xml:space="preserve"> </w:t>
      </w:r>
      <w:r w:rsidR="00533534" w:rsidRPr="00533534">
        <w:rPr>
          <w:rFonts w:ascii="Times New Roman" w:hAnsi="Times New Roman" w:cs="Times New Roman"/>
          <w:b/>
          <w:color w:val="000000"/>
          <w:sz w:val="28"/>
          <w:szCs w:val="28"/>
          <w:lang w:val="en-US"/>
        </w:rPr>
        <w:t>prevention of fiscal evasion with respect to taxes</w:t>
      </w:r>
      <w:r w:rsidR="00533534">
        <w:rPr>
          <w:rFonts w:ascii="Times New Roman" w:hAnsi="Times New Roman" w:cs="Times New Roman"/>
          <w:b/>
          <w:color w:val="000000"/>
          <w:sz w:val="28"/>
          <w:szCs w:val="28"/>
          <w:lang w:val="kk-KZ"/>
        </w:rPr>
        <w:t xml:space="preserve"> </w:t>
      </w:r>
      <w:r w:rsidR="00533534" w:rsidRPr="00533534">
        <w:rPr>
          <w:rFonts w:ascii="Times New Roman" w:hAnsi="Times New Roman" w:cs="Times New Roman"/>
          <w:b/>
          <w:color w:val="000000"/>
          <w:sz w:val="28"/>
          <w:szCs w:val="28"/>
          <w:lang w:val="en-US"/>
        </w:rPr>
        <w:t>on income and on capital</w:t>
      </w:r>
    </w:p>
    <w:p w:rsidR="00533534" w:rsidRPr="00533534" w:rsidRDefault="00533534" w:rsidP="00576710">
      <w:pPr>
        <w:spacing w:after="0"/>
        <w:jc w:val="center"/>
        <w:rPr>
          <w:rFonts w:ascii="Times New Roman" w:hAnsi="Times New Roman" w:cs="Times New Roman"/>
          <w:sz w:val="28"/>
          <w:szCs w:val="28"/>
          <w:lang w:val="en-US"/>
        </w:rPr>
      </w:pPr>
    </w:p>
    <w:p w:rsidR="00576710" w:rsidRPr="00D70152" w:rsidRDefault="00576710" w:rsidP="00576710">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color w:val="000000"/>
          <w:lang w:val="en-US"/>
        </w:rPr>
      </w:pPr>
      <w:r w:rsidRPr="00D70152">
        <w:rPr>
          <w:rFonts w:cs="Times New Roman"/>
          <w:lang w:val="en-US"/>
        </w:rPr>
        <w:t xml:space="preserve">This document presents the synthesised text for the application, in respect of relations </w:t>
      </w:r>
      <w:r w:rsidRPr="00D70152">
        <w:rPr>
          <w:rFonts w:cs="Times New Roman"/>
          <w:color w:val="000000"/>
          <w:lang w:val="en-US"/>
        </w:rPr>
        <w:t xml:space="preserve">between the Republic of Kazakhstan and </w:t>
      </w:r>
      <w:r w:rsidR="00533534" w:rsidRPr="00533534">
        <w:rPr>
          <w:rFonts w:cs="Times New Roman"/>
          <w:color w:val="000000"/>
          <w:sz w:val="22"/>
          <w:szCs w:val="22"/>
          <w:lang w:val="en-US"/>
        </w:rPr>
        <w:t>the Slovak Republic</w:t>
      </w:r>
      <w:r w:rsidRPr="00D70152">
        <w:rPr>
          <w:rFonts w:cs="Times New Roman"/>
          <w:color w:val="000000"/>
          <w:lang w:val="en-US"/>
        </w:rPr>
        <w:t xml:space="preserve">, of the Convention between the Republic of Kazakhstan and </w:t>
      </w:r>
      <w:r w:rsidR="00533534" w:rsidRPr="00533534">
        <w:rPr>
          <w:rFonts w:cs="Times New Roman"/>
          <w:color w:val="000000"/>
          <w:sz w:val="22"/>
          <w:szCs w:val="22"/>
          <w:lang w:val="en-US"/>
        </w:rPr>
        <w:t>the Slovak Republic</w:t>
      </w:r>
      <w:r w:rsidR="00533534" w:rsidRPr="00D70152">
        <w:rPr>
          <w:rFonts w:cs="Times New Roman"/>
          <w:color w:val="000000"/>
          <w:lang w:val="en-US"/>
        </w:rPr>
        <w:t xml:space="preserve"> </w:t>
      </w:r>
      <w:r w:rsidRPr="00D70152">
        <w:rPr>
          <w:rFonts w:cs="Times New Roman"/>
          <w:color w:val="000000"/>
          <w:lang w:val="en-US"/>
        </w:rPr>
        <w:t xml:space="preserve">for the Avoidance of Double Taxation and the prevention of fiscal evasion with respect to Taxes on Income and </w:t>
      </w:r>
      <w:r w:rsidR="00533534">
        <w:rPr>
          <w:rFonts w:cs="Times New Roman"/>
          <w:color w:val="000000"/>
          <w:lang w:val="en-US"/>
        </w:rPr>
        <w:t xml:space="preserve">on </w:t>
      </w:r>
      <w:r w:rsidRPr="00D70152">
        <w:rPr>
          <w:rFonts w:cs="Times New Roman"/>
          <w:color w:val="000000"/>
          <w:lang w:val="en-US"/>
        </w:rPr>
        <w:t xml:space="preserve">Capital signed on </w:t>
      </w:r>
      <w:r w:rsidRPr="00D70152">
        <w:rPr>
          <w:rFonts w:cs="Times New Roman"/>
          <w:lang w:val="en-US"/>
        </w:rPr>
        <w:t xml:space="preserve"> </w:t>
      </w:r>
      <w:r w:rsidR="00533534" w:rsidRPr="00D70152">
        <w:rPr>
          <w:rFonts w:cs="Times New Roman"/>
          <w:color w:val="000000"/>
          <w:lang w:val="en-US"/>
        </w:rPr>
        <w:t>M</w:t>
      </w:r>
      <w:r w:rsidR="00533534">
        <w:rPr>
          <w:rFonts w:cs="Times New Roman"/>
          <w:color w:val="000000"/>
          <w:lang w:val="en-US"/>
        </w:rPr>
        <w:t>a</w:t>
      </w:r>
      <w:r w:rsidR="00533534">
        <w:rPr>
          <w:rFonts w:cs="Times New Roman"/>
          <w:lang w:val="en-US"/>
        </w:rPr>
        <w:t>r</w:t>
      </w:r>
      <w:r w:rsidR="00533534" w:rsidRPr="00D70152">
        <w:rPr>
          <w:rFonts w:cs="Times New Roman"/>
          <w:color w:val="000000"/>
          <w:lang w:val="en-US"/>
        </w:rPr>
        <w:t>c</w:t>
      </w:r>
      <w:r w:rsidR="00533534">
        <w:rPr>
          <w:rFonts w:cs="Times New Roman"/>
          <w:lang w:val="en-US"/>
        </w:rPr>
        <w:t>h</w:t>
      </w:r>
      <w:r w:rsidRPr="00D70152">
        <w:rPr>
          <w:rFonts w:cs="Times New Roman"/>
          <w:lang w:val="en-US"/>
        </w:rPr>
        <w:t xml:space="preserve"> </w:t>
      </w:r>
      <w:r w:rsidR="00533534">
        <w:rPr>
          <w:rFonts w:cs="Times New Roman"/>
          <w:color w:val="000000"/>
          <w:lang w:val="en-US"/>
        </w:rPr>
        <w:t>21</w:t>
      </w:r>
      <w:r w:rsidRPr="00D70152">
        <w:rPr>
          <w:rFonts w:cs="Times New Roman"/>
          <w:lang w:val="en-US"/>
        </w:rPr>
        <w:t xml:space="preserve">, </w:t>
      </w:r>
      <w:r w:rsidR="00533534">
        <w:rPr>
          <w:rFonts w:cs="Times New Roman"/>
          <w:lang w:val="en-US"/>
        </w:rPr>
        <w:t>2007</w:t>
      </w:r>
      <w:r w:rsidRPr="00D70152">
        <w:rPr>
          <w:rFonts w:cs="Times New Roman"/>
          <w:lang w:val="en-US"/>
        </w:rPr>
        <w:t xml:space="preserve"> </w:t>
      </w:r>
      <w:r w:rsidRPr="00D70152">
        <w:rPr>
          <w:rFonts w:cs="Times New Roman"/>
          <w:color w:val="000000"/>
          <w:lang w:val="en-US"/>
        </w:rPr>
        <w:t xml:space="preserve"> (the “Convention”), as modified by the Multilateral Convention to Implement Tax Treaty Related Measures to Prevent Base Erosion and Profit Shifting signed by the Republic of Kazakhstan on  June 25, 2018 and the </w:t>
      </w:r>
      <w:r w:rsidR="00533534" w:rsidRPr="00533534">
        <w:rPr>
          <w:rFonts w:cs="Times New Roman"/>
          <w:color w:val="000000"/>
          <w:sz w:val="22"/>
          <w:szCs w:val="22"/>
          <w:lang w:val="en-US"/>
        </w:rPr>
        <w:t>Slovak Republic</w:t>
      </w:r>
      <w:r w:rsidR="00533534" w:rsidRPr="00D70152">
        <w:rPr>
          <w:rFonts w:cs="Times New Roman"/>
          <w:color w:val="000000"/>
          <w:lang w:val="en-US"/>
        </w:rPr>
        <w:t xml:space="preserve"> </w:t>
      </w:r>
      <w:r w:rsidRPr="00D70152">
        <w:rPr>
          <w:rFonts w:cs="Times New Roman"/>
          <w:color w:val="000000"/>
          <w:lang w:val="en-US"/>
        </w:rPr>
        <w:t xml:space="preserve">on  June 7, 2017 (the “MLI”). </w:t>
      </w:r>
    </w:p>
    <w:p w:rsidR="00576710" w:rsidRPr="00D70152" w:rsidRDefault="00576710" w:rsidP="00576710">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color w:val="000000"/>
          <w:lang w:val="en-US"/>
        </w:rPr>
      </w:pPr>
      <w:r w:rsidRPr="00D70152">
        <w:rPr>
          <w:rFonts w:cs="Times New Roman"/>
          <w:color w:val="000000"/>
          <w:lang w:val="en-US"/>
        </w:rPr>
        <w:t xml:space="preserve">The document was prepared on the basis of the MLI position of the Republic of Kazakhstan submitted to the Depositary upon ratification on June 24, 2020 and of the MLI position of the </w:t>
      </w:r>
      <w:r w:rsidR="00533534" w:rsidRPr="00533534">
        <w:rPr>
          <w:rFonts w:cs="Times New Roman"/>
          <w:color w:val="000000"/>
          <w:sz w:val="22"/>
          <w:szCs w:val="22"/>
          <w:lang w:val="en-US"/>
        </w:rPr>
        <w:t>Slovak Republic</w:t>
      </w:r>
      <w:r w:rsidR="00533534" w:rsidRPr="00D70152">
        <w:rPr>
          <w:rFonts w:cs="Times New Roman"/>
          <w:color w:val="000000"/>
          <w:lang w:val="en-US"/>
        </w:rPr>
        <w:t xml:space="preserve"> </w:t>
      </w:r>
      <w:r w:rsidRPr="00D70152">
        <w:rPr>
          <w:rFonts w:cs="Times New Roman"/>
          <w:color w:val="000000"/>
          <w:lang w:val="en-US"/>
        </w:rPr>
        <w:t xml:space="preserve">submitted to the Depositary upon ratification on </w:t>
      </w:r>
      <w:r w:rsidR="00533534">
        <w:rPr>
          <w:rFonts w:cs="Times New Roman"/>
          <w:color w:val="000000"/>
          <w:lang w:val="en-US"/>
        </w:rPr>
        <w:t>Septe</w:t>
      </w:r>
      <w:r w:rsidR="00533534" w:rsidRPr="00D70152">
        <w:rPr>
          <w:rFonts w:cs="Times New Roman"/>
          <w:color w:val="000000"/>
          <w:lang w:val="en-US"/>
        </w:rPr>
        <w:t>m</w:t>
      </w:r>
      <w:r w:rsidR="00533534">
        <w:rPr>
          <w:rFonts w:cs="Times New Roman"/>
          <w:color w:val="000000"/>
          <w:lang w:val="en-US"/>
        </w:rPr>
        <w:t>ber</w:t>
      </w:r>
      <w:r w:rsidRPr="00D70152">
        <w:rPr>
          <w:rFonts w:cs="Times New Roman"/>
          <w:color w:val="000000"/>
          <w:lang w:val="en-US"/>
        </w:rPr>
        <w:t xml:space="preserve"> 2</w:t>
      </w:r>
      <w:r w:rsidR="00533534">
        <w:rPr>
          <w:rFonts w:cs="Times New Roman"/>
          <w:color w:val="000000"/>
          <w:lang w:val="en-US"/>
        </w:rPr>
        <w:t>0</w:t>
      </w:r>
      <w:r w:rsidRPr="00D70152">
        <w:rPr>
          <w:rFonts w:cs="Times New Roman"/>
          <w:color w:val="000000"/>
          <w:lang w:val="en-US"/>
        </w:rPr>
        <w:t>, 201</w:t>
      </w:r>
      <w:r w:rsidR="00533534">
        <w:rPr>
          <w:rFonts w:cs="Times New Roman"/>
          <w:color w:val="000000"/>
          <w:lang w:val="en-US"/>
        </w:rPr>
        <w:t>8</w:t>
      </w:r>
      <w:r w:rsidRPr="00D70152">
        <w:rPr>
          <w:rFonts w:cs="Times New Roman"/>
          <w:color w:val="000000"/>
          <w:lang w:val="en-US"/>
        </w:rPr>
        <w:t xml:space="preserve">. These MLI positions are subject to modifications as provided in the MLI. Modifications made to MLI positions could modify the effects of the MLI on the Convention. </w:t>
      </w:r>
    </w:p>
    <w:p w:rsidR="00576710" w:rsidRPr="00D70152" w:rsidRDefault="00576710" w:rsidP="00576710">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color w:val="000000"/>
          <w:lang w:val="en-US"/>
        </w:rPr>
      </w:pPr>
      <w:r w:rsidRPr="00D70152">
        <w:rPr>
          <w:rFonts w:eastAsia="SimSun" w:cs="Arial"/>
          <w:iCs/>
          <w:lang w:val="en-GB" w:eastAsia="ja-JP"/>
        </w:rPr>
        <w:t xml:space="preserve">The sole purpose of this document is to facilitate the understanding of the application of the MLI to the Convention and the document does not constitute a source of law. </w:t>
      </w:r>
      <w:r w:rsidRPr="00D70152">
        <w:rPr>
          <w:rFonts w:cs="Times New Roman"/>
          <w:color w:val="000000"/>
          <w:lang w:val="en-US"/>
        </w:rPr>
        <w:t xml:space="preserve">The authentic legal texts of the Convention and the MLI take precedence and remain the legal texts applicable. </w:t>
      </w:r>
    </w:p>
    <w:p w:rsidR="00576710" w:rsidRPr="00D70152" w:rsidRDefault="00576710" w:rsidP="00576710">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lang w:val="en-US"/>
        </w:rPr>
      </w:pPr>
      <w:r w:rsidRPr="00D70152">
        <w:rPr>
          <w:rFonts w:cs="Times New Roman"/>
          <w:color w:val="000000"/>
          <w:lang w:val="en-US"/>
        </w:rPr>
        <w:t xml:space="preserve">The provisions of the MLI that are applicable with respect to the provisions of the Convention are included in boxes throughout the text of this document in the context of the relevant provisions of the Convention. The boxes containing the provisions of the MLI have generally been inserted in accordance with the ordering of the provisions of the </w:t>
      </w:r>
      <w:r w:rsidRPr="00D70152">
        <w:rPr>
          <w:rFonts w:cs="Times New Roman"/>
          <w:lang w:val="en-US"/>
        </w:rPr>
        <w:t xml:space="preserve">2017 OECD Model Tax Convention. </w:t>
      </w:r>
    </w:p>
    <w:p w:rsidR="00576710" w:rsidRPr="00D70152" w:rsidRDefault="00576710" w:rsidP="00576710">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lang w:val="en-US"/>
        </w:rPr>
      </w:pPr>
      <w:r w:rsidRPr="00D70152">
        <w:rPr>
          <w:rFonts w:cs="Times New Roman"/>
          <w:lang w:val="en-US"/>
        </w:rPr>
        <w:t xml:space="preserve">In this document, changes to the text of the provisions of the MLI have been made to conform the terminology used in the MLI to the terminology used in the Convention (such as </w:t>
      </w:r>
      <w:r w:rsidRPr="00D70152">
        <w:rPr>
          <w:rFonts w:eastAsia="SimSun" w:cs="Arial"/>
          <w:iCs/>
          <w:lang w:val="en-GB" w:eastAsia="ja-JP"/>
        </w:rPr>
        <w:t>changes from “Covered Tax Agreement” to “Convention” and changes from “Contracting Jurisdiction” to “Contracting State”</w:t>
      </w:r>
      <w:r w:rsidRPr="00D70152">
        <w:rPr>
          <w:rFonts w:cs="Times New Roman"/>
          <w:lang w:val="en-US"/>
        </w:rPr>
        <w:t xml:space="preserve">).  </w:t>
      </w:r>
      <w:r w:rsidRPr="00D70152">
        <w:rPr>
          <w:rFonts w:eastAsia="SimSun" w:cs="Arial"/>
          <w:iCs/>
          <w:lang w:val="en-GB" w:eastAsia="ja-JP"/>
        </w:rPr>
        <w:t>Similarly, changes have been made to parts of provisions of the MLI that describe existing provisions of the Convention by replacing such descriptive language with the article and paragraph numbers or language of the existing provisions. These changes are intended to increase the readability of the document and are not intended to change the substance of the provisions of the MLI.</w:t>
      </w:r>
    </w:p>
    <w:p w:rsidR="00576710" w:rsidRPr="00D70152" w:rsidRDefault="00576710" w:rsidP="00576710">
      <w:pPr>
        <w:pStyle w:val="CM26"/>
        <w:pBdr>
          <w:top w:val="single" w:sz="4" w:space="1" w:color="auto"/>
          <w:left w:val="single" w:sz="4" w:space="4" w:color="auto"/>
          <w:bottom w:val="single" w:sz="4" w:space="31" w:color="auto"/>
          <w:right w:val="single" w:sz="4" w:space="4" w:color="auto"/>
        </w:pBdr>
        <w:spacing w:after="277" w:line="291" w:lineRule="atLeast"/>
        <w:jc w:val="both"/>
        <w:rPr>
          <w:rFonts w:cs="Times New Roman"/>
          <w:lang w:val="en-US"/>
        </w:rPr>
      </w:pPr>
      <w:r w:rsidRPr="00D70152">
        <w:rPr>
          <w:rFonts w:cs="Times New Roman"/>
          <w:lang w:val="en-US"/>
        </w:rPr>
        <w:t xml:space="preserve">The provisions of the MLI applicable to the Convention do not take effect on the same dates as the original provisions of the Convention. Each of provisions of the MLI could take effect on different dates, depending on the types of taxes involved (taxes withheld at source or other taxes levied) and on the choices made by the Republic of Kazakhstan and </w:t>
      </w:r>
      <w:r w:rsidRPr="00D70152">
        <w:rPr>
          <w:rFonts w:cs="Times New Roman"/>
          <w:color w:val="000000"/>
          <w:lang w:val="en-US"/>
        </w:rPr>
        <w:t xml:space="preserve">the </w:t>
      </w:r>
      <w:r w:rsidR="00533534" w:rsidRPr="00533534">
        <w:rPr>
          <w:rFonts w:cs="Times New Roman"/>
          <w:color w:val="000000"/>
          <w:sz w:val="22"/>
          <w:szCs w:val="22"/>
          <w:lang w:val="en-US"/>
        </w:rPr>
        <w:t>Slovak Republic</w:t>
      </w:r>
      <w:r w:rsidR="00533534" w:rsidRPr="00D70152">
        <w:rPr>
          <w:rFonts w:cs="Times New Roman"/>
          <w:lang w:val="en-US"/>
        </w:rPr>
        <w:t xml:space="preserve"> </w:t>
      </w:r>
      <w:r w:rsidRPr="00D70152">
        <w:rPr>
          <w:rFonts w:cs="Times New Roman"/>
          <w:lang w:val="en-US"/>
        </w:rPr>
        <w:t xml:space="preserve">in their MLI positions. </w:t>
      </w:r>
    </w:p>
    <w:p w:rsidR="00576710" w:rsidRPr="00D70152" w:rsidRDefault="00576710" w:rsidP="00576710">
      <w:pPr>
        <w:pBdr>
          <w:top w:val="single" w:sz="4" w:space="1" w:color="auto"/>
          <w:left w:val="single" w:sz="4" w:space="4" w:color="auto"/>
          <w:bottom w:val="single" w:sz="4" w:space="1" w:color="auto"/>
          <w:right w:val="single" w:sz="4" w:space="4" w:color="auto"/>
        </w:pBdr>
        <w:tabs>
          <w:tab w:val="left" w:pos="709"/>
        </w:tabs>
        <w:autoSpaceDE w:val="0"/>
        <w:autoSpaceDN w:val="0"/>
        <w:adjustRightInd w:val="0"/>
        <w:ind w:leftChars="50" w:left="110" w:rightChars="50" w:right="110"/>
        <w:contextualSpacing/>
        <w:rPr>
          <w:rFonts w:ascii="Times New Roman" w:eastAsia="SimSun" w:hAnsi="Times New Roman" w:cs="Times New Roman"/>
          <w:iCs/>
          <w:sz w:val="24"/>
          <w:szCs w:val="24"/>
          <w:u w:val="single"/>
          <w:lang w:val="en-GB"/>
        </w:rPr>
      </w:pPr>
      <w:r w:rsidRPr="00D70152">
        <w:rPr>
          <w:rFonts w:ascii="Times New Roman" w:eastAsia="SimSun" w:hAnsi="Times New Roman" w:cs="Times New Roman"/>
          <w:iCs/>
          <w:sz w:val="24"/>
          <w:szCs w:val="24"/>
          <w:u w:val="single"/>
          <w:lang w:val="en-GB"/>
        </w:rPr>
        <w:lastRenderedPageBreak/>
        <w:t>Entry into force and entry into effect of the MLI</w:t>
      </w:r>
    </w:p>
    <w:p w:rsidR="00576710" w:rsidRPr="00D70152" w:rsidRDefault="00576710" w:rsidP="00576710">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Chars="50" w:left="110" w:rightChars="50" w:right="110"/>
        <w:contextualSpacing/>
        <w:rPr>
          <w:rFonts w:ascii="Times New Roman" w:eastAsia="SimSun" w:hAnsi="Times New Roman" w:cs="Times New Roman"/>
          <w:iCs/>
          <w:sz w:val="24"/>
          <w:szCs w:val="24"/>
          <w:lang w:val="en-GB"/>
        </w:rPr>
      </w:pPr>
    </w:p>
    <w:p w:rsidR="00576710" w:rsidRPr="00D70152" w:rsidRDefault="00576710" w:rsidP="00576710">
      <w:pPr>
        <w:pBdr>
          <w:top w:val="single" w:sz="4" w:space="1" w:color="auto"/>
          <w:left w:val="single" w:sz="4" w:space="4" w:color="auto"/>
          <w:bottom w:val="single" w:sz="4" w:space="1" w:color="auto"/>
          <w:right w:val="single" w:sz="4" w:space="4" w:color="auto"/>
        </w:pBdr>
        <w:tabs>
          <w:tab w:val="left" w:pos="0"/>
        </w:tabs>
        <w:autoSpaceDE w:val="0"/>
        <w:autoSpaceDN w:val="0"/>
        <w:adjustRightInd w:val="0"/>
        <w:ind w:leftChars="50" w:left="110" w:rightChars="50" w:right="110"/>
        <w:contextualSpacing/>
        <w:jc w:val="both"/>
        <w:rPr>
          <w:rFonts w:ascii="Times New Roman" w:eastAsia="SimSun" w:hAnsi="Times New Roman" w:cs="Times New Roman"/>
          <w:sz w:val="24"/>
          <w:szCs w:val="24"/>
          <w:lang w:val="en-GB"/>
        </w:rPr>
      </w:pPr>
      <w:r w:rsidRPr="00D70152">
        <w:rPr>
          <w:rFonts w:ascii="Times New Roman" w:eastAsia="SimSun" w:hAnsi="Times New Roman" w:cs="Times New Roman"/>
          <w:iCs/>
          <w:sz w:val="24"/>
          <w:szCs w:val="24"/>
          <w:lang w:val="en-GB" w:eastAsia="ja-JP"/>
        </w:rPr>
        <w:t xml:space="preserve">The MLI enters into force </w:t>
      </w:r>
      <w:r w:rsidRPr="00D70152">
        <w:rPr>
          <w:rFonts w:ascii="Times New Roman" w:hAnsi="Times New Roman" w:cs="Times New Roman"/>
          <w:color w:val="000000"/>
          <w:sz w:val="24"/>
          <w:szCs w:val="24"/>
          <w:lang w:val="en-US"/>
        </w:rPr>
        <w:t xml:space="preserve">for the </w:t>
      </w:r>
      <w:r w:rsidR="00533534" w:rsidRPr="00533534">
        <w:rPr>
          <w:rFonts w:ascii="Times New Roman" w:hAnsi="Times New Roman" w:cs="Times New Roman"/>
          <w:color w:val="000000"/>
          <w:lang w:val="en-US"/>
        </w:rPr>
        <w:t>Slovak Republic</w:t>
      </w:r>
      <w:r w:rsidRPr="00D70152">
        <w:rPr>
          <w:rFonts w:ascii="Times New Roman" w:eastAsia="SimSun" w:hAnsi="Times New Roman" w:cs="Times New Roman"/>
          <w:iCs/>
          <w:sz w:val="24"/>
          <w:szCs w:val="24"/>
          <w:lang w:val="en-GB" w:eastAsia="ja-JP"/>
        </w:rPr>
        <w:t xml:space="preserve"> on </w:t>
      </w:r>
      <w:r w:rsidR="00533534">
        <w:rPr>
          <w:rFonts w:ascii="Times New Roman" w:eastAsia="SimSun" w:hAnsi="Times New Roman" w:cs="Times New Roman"/>
          <w:iCs/>
          <w:sz w:val="24"/>
          <w:szCs w:val="24"/>
          <w:lang w:val="en-GB" w:eastAsia="ja-JP"/>
        </w:rPr>
        <w:t>January</w:t>
      </w:r>
      <w:r w:rsidRPr="00D70152">
        <w:rPr>
          <w:rFonts w:ascii="Times New Roman" w:eastAsia="SimSun" w:hAnsi="Times New Roman" w:cs="Times New Roman"/>
          <w:iCs/>
          <w:sz w:val="24"/>
          <w:szCs w:val="24"/>
          <w:lang w:val="en-GB" w:eastAsia="ja-JP"/>
        </w:rPr>
        <w:t xml:space="preserve"> 1, 2019 and for the Republic of Kazakhstan on October 1, 2020 and has effect as follows:</w:t>
      </w:r>
    </w:p>
    <w:p w:rsidR="00576710" w:rsidRPr="00D70152" w:rsidRDefault="00576710" w:rsidP="00576710">
      <w:pPr>
        <w:pBdr>
          <w:top w:val="single" w:sz="4" w:space="1" w:color="auto"/>
          <w:left w:val="single" w:sz="4" w:space="4" w:color="auto"/>
          <w:bottom w:val="single" w:sz="4" w:space="1" w:color="auto"/>
          <w:right w:val="single" w:sz="4" w:space="4" w:color="auto"/>
        </w:pBdr>
        <w:tabs>
          <w:tab w:val="left" w:pos="550"/>
          <w:tab w:val="left" w:pos="990"/>
          <w:tab w:val="left" w:pos="1430"/>
        </w:tabs>
        <w:autoSpaceDE w:val="0"/>
        <w:autoSpaceDN w:val="0"/>
        <w:adjustRightInd w:val="0"/>
        <w:ind w:leftChars="50" w:left="1020" w:rightChars="50" w:right="110" w:hangingChars="379" w:hanging="910"/>
        <w:contextualSpacing/>
        <w:jc w:val="both"/>
        <w:rPr>
          <w:rFonts w:ascii="Times New Roman" w:eastAsia="SimSun" w:hAnsi="Times New Roman" w:cs="Times New Roman"/>
          <w:sz w:val="24"/>
          <w:szCs w:val="24"/>
          <w:lang w:val="en-GB"/>
        </w:rPr>
      </w:pPr>
      <w:r w:rsidRPr="00D70152">
        <w:rPr>
          <w:rFonts w:ascii="Times New Roman" w:eastAsia="SimSun" w:hAnsi="Times New Roman" w:cs="Times New Roman"/>
          <w:sz w:val="24"/>
          <w:szCs w:val="24"/>
          <w:lang w:val="en-GB"/>
        </w:rPr>
        <w:tab/>
        <w:t>(a)</w:t>
      </w:r>
      <w:r w:rsidRPr="00D70152">
        <w:rPr>
          <w:rFonts w:ascii="Times New Roman" w:eastAsia="SimSun" w:hAnsi="Times New Roman" w:cs="Times New Roman"/>
          <w:sz w:val="24"/>
          <w:szCs w:val="24"/>
          <w:lang w:val="en-GB"/>
        </w:rPr>
        <w:tab/>
      </w:r>
      <w:r w:rsidRPr="00D70152">
        <w:rPr>
          <w:rFonts w:ascii="Times New Roman" w:eastAsia="SimSun" w:hAnsi="Times New Roman" w:cs="Times New Roman"/>
          <w:sz w:val="24"/>
          <w:szCs w:val="24"/>
          <w:lang w:val="en-GB"/>
        </w:rPr>
        <w:tab/>
        <w:t>The provisions of the MLI shall have effect in each Contracting State with respect to the Convention:</w:t>
      </w:r>
    </w:p>
    <w:p w:rsidR="00576710" w:rsidRPr="00D70152" w:rsidRDefault="00576710" w:rsidP="00576710">
      <w:pPr>
        <w:pBdr>
          <w:top w:val="single" w:sz="4" w:space="1" w:color="auto"/>
          <w:left w:val="single" w:sz="4" w:space="4" w:color="auto"/>
          <w:bottom w:val="single" w:sz="4" w:space="1" w:color="auto"/>
          <w:right w:val="single" w:sz="4" w:space="4" w:color="auto"/>
        </w:pBdr>
        <w:tabs>
          <w:tab w:val="left" w:pos="1418"/>
          <w:tab w:val="left" w:pos="1560"/>
          <w:tab w:val="left" w:pos="1701"/>
        </w:tabs>
        <w:autoSpaceDE w:val="0"/>
        <w:autoSpaceDN w:val="0"/>
        <w:adjustRightInd w:val="0"/>
        <w:ind w:leftChars="50" w:left="1226" w:rightChars="50" w:right="110" w:hangingChars="465" w:hanging="1116"/>
        <w:contextualSpacing/>
        <w:jc w:val="both"/>
        <w:rPr>
          <w:rFonts w:ascii="Times New Roman" w:eastAsia="SimSun" w:hAnsi="Times New Roman" w:cs="Times New Roman"/>
          <w:sz w:val="24"/>
          <w:szCs w:val="24"/>
          <w:lang w:val="en-GB"/>
        </w:rPr>
      </w:pPr>
      <w:r w:rsidRPr="00D70152">
        <w:rPr>
          <w:rFonts w:ascii="Times New Roman" w:eastAsia="SimSun" w:hAnsi="Times New Roman" w:cs="Times New Roman"/>
          <w:sz w:val="24"/>
          <w:szCs w:val="24"/>
          <w:lang w:val="en-GB"/>
        </w:rPr>
        <w:t xml:space="preserve">                   (i)</w:t>
      </w:r>
      <w:r w:rsidRPr="00D70152">
        <w:rPr>
          <w:rFonts w:ascii="Times New Roman" w:eastAsia="SimSun" w:hAnsi="Times New Roman" w:cs="Times New Roman"/>
          <w:sz w:val="24"/>
          <w:szCs w:val="24"/>
          <w:lang w:val="en-GB"/>
        </w:rPr>
        <w:tab/>
        <w:t xml:space="preserve">with respect to taxes withheld at source on amounts paid </w:t>
      </w:r>
      <w:r w:rsidR="00533534">
        <w:rPr>
          <w:rFonts w:ascii="Times New Roman" w:eastAsia="SimSun" w:hAnsi="Times New Roman" w:cs="Times New Roman"/>
          <w:sz w:val="24"/>
          <w:szCs w:val="24"/>
          <w:lang w:val="en-GB"/>
        </w:rPr>
        <w:t xml:space="preserve">or credited to non-residents, </w:t>
      </w:r>
      <w:r w:rsidRPr="00D70152">
        <w:rPr>
          <w:rFonts w:ascii="Times New Roman" w:eastAsia="SimSun" w:hAnsi="Times New Roman" w:cs="Times New Roman"/>
          <w:sz w:val="24"/>
          <w:szCs w:val="24"/>
          <w:lang w:val="en-GB"/>
        </w:rPr>
        <w:t>where the event giving rise to such taxes occurs on or after January 1, 2021; and</w:t>
      </w:r>
    </w:p>
    <w:p w:rsidR="00576710" w:rsidRPr="00D70152" w:rsidRDefault="00576710" w:rsidP="00576710">
      <w:pPr>
        <w:pBdr>
          <w:top w:val="single" w:sz="4" w:space="1" w:color="auto"/>
          <w:left w:val="single" w:sz="4" w:space="4" w:color="auto"/>
          <w:bottom w:val="single" w:sz="4" w:space="1" w:color="auto"/>
          <w:right w:val="single" w:sz="4" w:space="4" w:color="auto"/>
        </w:pBdr>
        <w:tabs>
          <w:tab w:val="left" w:pos="426"/>
          <w:tab w:val="left" w:pos="709"/>
          <w:tab w:val="left" w:pos="1418"/>
        </w:tabs>
        <w:autoSpaceDE w:val="0"/>
        <w:autoSpaceDN w:val="0"/>
        <w:adjustRightInd w:val="0"/>
        <w:ind w:leftChars="50" w:left="1226" w:rightChars="50" w:right="110" w:hangingChars="465" w:hanging="1116"/>
        <w:contextualSpacing/>
        <w:jc w:val="both"/>
        <w:rPr>
          <w:rFonts w:ascii="Times New Roman" w:eastAsia="SimSun" w:hAnsi="Times New Roman" w:cs="Times New Roman"/>
          <w:sz w:val="24"/>
          <w:szCs w:val="24"/>
          <w:lang w:val="en-GB"/>
        </w:rPr>
      </w:pPr>
      <w:r w:rsidRPr="00D70152">
        <w:rPr>
          <w:rFonts w:ascii="Times New Roman" w:eastAsia="SimSun" w:hAnsi="Times New Roman" w:cs="Times New Roman"/>
          <w:sz w:val="24"/>
          <w:szCs w:val="24"/>
          <w:lang w:val="en-GB"/>
        </w:rPr>
        <w:t xml:space="preserve">                   (ii) with respect to all other taxes levied by that Contracting State, for taxes levied with respect to taxable periods beginning on or after April 1, 2021.</w:t>
      </w:r>
    </w:p>
    <w:p w:rsidR="00576710" w:rsidRPr="00D70152" w:rsidRDefault="00576710" w:rsidP="00576710">
      <w:pPr>
        <w:pBdr>
          <w:top w:val="single" w:sz="4" w:space="1" w:color="auto"/>
          <w:left w:val="single" w:sz="4" w:space="4" w:color="auto"/>
          <w:bottom w:val="single" w:sz="4" w:space="1" w:color="auto"/>
          <w:right w:val="single" w:sz="4" w:space="4" w:color="auto"/>
        </w:pBdr>
        <w:tabs>
          <w:tab w:val="left" w:pos="426"/>
          <w:tab w:val="left" w:pos="709"/>
          <w:tab w:val="left" w:pos="1418"/>
        </w:tabs>
        <w:autoSpaceDE w:val="0"/>
        <w:autoSpaceDN w:val="0"/>
        <w:adjustRightInd w:val="0"/>
        <w:ind w:leftChars="50" w:left="1226" w:rightChars="50" w:right="110" w:hangingChars="465" w:hanging="1116"/>
        <w:contextualSpacing/>
        <w:jc w:val="both"/>
        <w:rPr>
          <w:rFonts w:ascii="Times New Roman" w:eastAsia="SimSun" w:hAnsi="Times New Roman" w:cs="Times New Roman"/>
          <w:iCs/>
          <w:sz w:val="24"/>
          <w:szCs w:val="24"/>
          <w:lang w:val="en-GB"/>
        </w:rPr>
      </w:pPr>
      <w:r w:rsidRPr="00D70152">
        <w:rPr>
          <w:rFonts w:ascii="Times New Roman" w:hAnsi="Times New Roman" w:cs="Times New Roman"/>
          <w:sz w:val="24"/>
          <w:szCs w:val="24"/>
          <w:lang w:val="en-US"/>
        </w:rPr>
        <w:t xml:space="preserve">         (b)    Notwithstanding (a), Article 16 (Mutual Agreement Procedure) of the MLI shall have effect with respect to the Convention for a case presented to the competent authority of a Contracting State on or after </w:t>
      </w:r>
      <w:r w:rsidRPr="00D70152">
        <w:rPr>
          <w:rFonts w:ascii="Times New Roman" w:eastAsia="SimSun" w:hAnsi="Times New Roman" w:cs="Times New Roman"/>
          <w:iCs/>
          <w:sz w:val="24"/>
          <w:szCs w:val="24"/>
          <w:lang w:val="en-US" w:eastAsia="ja-JP"/>
        </w:rPr>
        <w:t>October 1, 2020</w:t>
      </w:r>
      <w:r w:rsidRPr="00D70152">
        <w:rPr>
          <w:rFonts w:ascii="Times New Roman" w:hAnsi="Times New Roman" w:cs="Times New Roman"/>
          <w:sz w:val="24"/>
          <w:szCs w:val="24"/>
          <w:lang w:val="en-US"/>
        </w:rPr>
        <w:t>, except for cases that were not eligible to be presented as of that date under the Convention prior to its modification by the MLI, without regard to the taxable period to which the case relates.</w:t>
      </w:r>
    </w:p>
    <w:p w:rsidR="00576710" w:rsidRDefault="00576710" w:rsidP="00576710">
      <w:pPr>
        <w:spacing w:after="240" w:line="240" w:lineRule="auto"/>
        <w:jc w:val="center"/>
        <w:rPr>
          <w:rFonts w:ascii="Courier New" w:eastAsia="Times New Roman" w:hAnsi="Courier New" w:cs="Courier New"/>
          <w:b/>
          <w:bCs/>
          <w:color w:val="000000"/>
          <w:sz w:val="20"/>
          <w:szCs w:val="20"/>
          <w:lang w:val="en-US" w:eastAsia="ru-RU"/>
        </w:rPr>
      </w:pPr>
    </w:p>
    <w:p w:rsidR="00576710" w:rsidRDefault="00576710" w:rsidP="00576710">
      <w:pPr>
        <w:spacing w:after="240" w:line="240" w:lineRule="auto"/>
        <w:jc w:val="center"/>
        <w:rPr>
          <w:rFonts w:ascii="Courier New" w:eastAsia="Times New Roman" w:hAnsi="Courier New" w:cs="Courier New"/>
          <w:b/>
          <w:bCs/>
          <w:color w:val="000000"/>
          <w:sz w:val="20"/>
          <w:szCs w:val="20"/>
          <w:lang w:val="en-US" w:eastAsia="ru-RU"/>
        </w:rPr>
      </w:pPr>
    </w:p>
    <w:p w:rsidR="00576710" w:rsidRDefault="00576710" w:rsidP="00576710">
      <w:pPr>
        <w:spacing w:after="240" w:line="240" w:lineRule="auto"/>
        <w:jc w:val="center"/>
        <w:rPr>
          <w:rFonts w:ascii="Courier New" w:eastAsia="Times New Roman" w:hAnsi="Courier New" w:cs="Courier New"/>
          <w:b/>
          <w:bCs/>
          <w:color w:val="000000"/>
          <w:sz w:val="20"/>
          <w:szCs w:val="20"/>
          <w:lang w:val="en-US" w:eastAsia="ru-RU"/>
        </w:rPr>
      </w:pPr>
    </w:p>
    <w:p w:rsidR="00576710" w:rsidRDefault="00576710" w:rsidP="00576710">
      <w:pPr>
        <w:spacing w:after="240" w:line="240" w:lineRule="auto"/>
        <w:jc w:val="center"/>
        <w:rPr>
          <w:rFonts w:ascii="Courier New" w:eastAsia="Times New Roman" w:hAnsi="Courier New" w:cs="Courier New"/>
          <w:b/>
          <w:bCs/>
          <w:color w:val="000000"/>
          <w:sz w:val="20"/>
          <w:szCs w:val="20"/>
          <w:lang w:val="en-US" w:eastAsia="ru-RU"/>
        </w:rPr>
      </w:pPr>
    </w:p>
    <w:p w:rsidR="00576710" w:rsidRDefault="00576710" w:rsidP="00576710">
      <w:pPr>
        <w:spacing w:after="240" w:line="240" w:lineRule="auto"/>
        <w:jc w:val="center"/>
        <w:rPr>
          <w:rFonts w:ascii="Courier New" w:eastAsia="Times New Roman" w:hAnsi="Courier New" w:cs="Courier New"/>
          <w:b/>
          <w:bCs/>
          <w:color w:val="000000"/>
          <w:sz w:val="20"/>
          <w:szCs w:val="20"/>
          <w:lang w:val="en-US" w:eastAsia="ru-RU"/>
        </w:rPr>
      </w:pPr>
    </w:p>
    <w:p w:rsidR="00576710" w:rsidRDefault="00576710" w:rsidP="00576710">
      <w:pPr>
        <w:spacing w:after="240" w:line="240" w:lineRule="auto"/>
        <w:jc w:val="center"/>
        <w:rPr>
          <w:rFonts w:ascii="Courier New" w:eastAsia="Times New Roman" w:hAnsi="Courier New" w:cs="Courier New"/>
          <w:b/>
          <w:bCs/>
          <w:color w:val="000000"/>
          <w:sz w:val="20"/>
          <w:szCs w:val="20"/>
          <w:lang w:val="en-US" w:eastAsia="ru-RU"/>
        </w:rPr>
      </w:pPr>
    </w:p>
    <w:p w:rsidR="00576710" w:rsidRDefault="00576710" w:rsidP="00576710">
      <w:pPr>
        <w:spacing w:after="240" w:line="240" w:lineRule="auto"/>
        <w:jc w:val="center"/>
        <w:rPr>
          <w:rFonts w:ascii="Courier New" w:eastAsia="Times New Roman" w:hAnsi="Courier New" w:cs="Courier New"/>
          <w:b/>
          <w:bCs/>
          <w:color w:val="000000"/>
          <w:sz w:val="20"/>
          <w:szCs w:val="20"/>
          <w:lang w:val="en-US" w:eastAsia="ru-RU"/>
        </w:rPr>
      </w:pPr>
    </w:p>
    <w:p w:rsidR="00C70F94" w:rsidRPr="00576710" w:rsidRDefault="00C70F94" w:rsidP="00745097">
      <w:pPr>
        <w:rPr>
          <w:lang w:val="en-US"/>
        </w:rPr>
      </w:pPr>
    </w:p>
    <w:p w:rsidR="00576710" w:rsidRPr="00576710" w:rsidRDefault="00576710">
      <w:pPr>
        <w:spacing w:after="0"/>
        <w:jc w:val="center"/>
        <w:rPr>
          <w:rFonts w:ascii="Times New Roman" w:hAnsi="Times New Roman"/>
          <w:b/>
          <w:color w:val="000000"/>
          <w:sz w:val="24"/>
          <w:lang w:val="en-US"/>
        </w:rPr>
      </w:pPr>
    </w:p>
    <w:p w:rsidR="00576710" w:rsidRPr="00576710" w:rsidRDefault="00576710">
      <w:pPr>
        <w:spacing w:after="0"/>
        <w:jc w:val="center"/>
        <w:rPr>
          <w:rFonts w:ascii="Times New Roman" w:hAnsi="Times New Roman"/>
          <w:b/>
          <w:color w:val="000000"/>
          <w:sz w:val="24"/>
          <w:lang w:val="en-US"/>
        </w:rPr>
      </w:pPr>
    </w:p>
    <w:p w:rsidR="00576710" w:rsidRPr="00576710" w:rsidRDefault="00576710">
      <w:pPr>
        <w:spacing w:after="0"/>
        <w:jc w:val="center"/>
        <w:rPr>
          <w:rFonts w:ascii="Times New Roman" w:hAnsi="Times New Roman"/>
          <w:b/>
          <w:color w:val="000000"/>
          <w:sz w:val="24"/>
          <w:lang w:val="en-US"/>
        </w:rPr>
      </w:pPr>
    </w:p>
    <w:p w:rsidR="00576710" w:rsidRPr="00576710" w:rsidRDefault="00576710">
      <w:pPr>
        <w:spacing w:after="0"/>
        <w:jc w:val="center"/>
        <w:rPr>
          <w:rFonts w:ascii="Times New Roman" w:hAnsi="Times New Roman"/>
          <w:b/>
          <w:color w:val="000000"/>
          <w:sz w:val="24"/>
          <w:lang w:val="en-US"/>
        </w:rPr>
      </w:pPr>
    </w:p>
    <w:p w:rsidR="00576710" w:rsidRPr="00576710" w:rsidRDefault="00576710">
      <w:pPr>
        <w:spacing w:after="0"/>
        <w:jc w:val="center"/>
        <w:rPr>
          <w:rFonts w:ascii="Times New Roman" w:hAnsi="Times New Roman"/>
          <w:b/>
          <w:color w:val="000000"/>
          <w:sz w:val="24"/>
          <w:lang w:val="en-US"/>
        </w:rPr>
      </w:pPr>
    </w:p>
    <w:p w:rsidR="00576710" w:rsidRDefault="00576710">
      <w:pPr>
        <w:spacing w:after="0"/>
        <w:jc w:val="center"/>
        <w:rPr>
          <w:rFonts w:ascii="Times New Roman" w:hAnsi="Times New Roman"/>
          <w:b/>
          <w:color w:val="000000"/>
          <w:sz w:val="24"/>
          <w:lang w:val="en-US"/>
        </w:rPr>
      </w:pPr>
    </w:p>
    <w:p w:rsidR="00EF0575" w:rsidRDefault="00EF0575">
      <w:pPr>
        <w:spacing w:after="0"/>
        <w:jc w:val="center"/>
        <w:rPr>
          <w:rFonts w:ascii="Times New Roman" w:hAnsi="Times New Roman"/>
          <w:b/>
          <w:color w:val="000000"/>
          <w:sz w:val="24"/>
          <w:lang w:val="en-US"/>
        </w:rPr>
      </w:pPr>
    </w:p>
    <w:p w:rsidR="00EF0575" w:rsidRDefault="00EF0575">
      <w:pPr>
        <w:spacing w:after="0"/>
        <w:jc w:val="center"/>
        <w:rPr>
          <w:rFonts w:ascii="Times New Roman" w:hAnsi="Times New Roman"/>
          <w:b/>
          <w:color w:val="000000"/>
          <w:sz w:val="24"/>
          <w:lang w:val="en-US"/>
        </w:rPr>
      </w:pPr>
    </w:p>
    <w:p w:rsidR="00EF0575" w:rsidRDefault="00EF0575">
      <w:pPr>
        <w:spacing w:after="0"/>
        <w:jc w:val="center"/>
        <w:rPr>
          <w:rFonts w:ascii="Times New Roman" w:hAnsi="Times New Roman"/>
          <w:b/>
          <w:color w:val="000000"/>
          <w:sz w:val="24"/>
          <w:lang w:val="en-US"/>
        </w:rPr>
      </w:pPr>
    </w:p>
    <w:p w:rsidR="00EF0575" w:rsidRDefault="00EF0575">
      <w:pPr>
        <w:spacing w:after="0"/>
        <w:jc w:val="center"/>
        <w:rPr>
          <w:rFonts w:ascii="Times New Roman" w:hAnsi="Times New Roman"/>
          <w:b/>
          <w:color w:val="000000"/>
          <w:sz w:val="24"/>
          <w:lang w:val="en-US"/>
        </w:rPr>
      </w:pPr>
    </w:p>
    <w:p w:rsidR="0014706A" w:rsidRDefault="0014706A">
      <w:pPr>
        <w:spacing w:after="0"/>
        <w:jc w:val="center"/>
        <w:rPr>
          <w:rFonts w:ascii="Times New Roman" w:hAnsi="Times New Roman"/>
          <w:b/>
          <w:color w:val="000000"/>
          <w:sz w:val="24"/>
          <w:lang w:val="en-US"/>
        </w:rPr>
      </w:pPr>
    </w:p>
    <w:p w:rsidR="0014706A" w:rsidRDefault="0014706A">
      <w:pPr>
        <w:spacing w:after="0"/>
        <w:jc w:val="center"/>
        <w:rPr>
          <w:rFonts w:ascii="Times New Roman" w:hAnsi="Times New Roman"/>
          <w:b/>
          <w:color w:val="000000"/>
          <w:sz w:val="24"/>
          <w:lang w:val="en-US"/>
        </w:rPr>
      </w:pPr>
    </w:p>
    <w:p w:rsidR="0014706A" w:rsidRDefault="0014706A">
      <w:pPr>
        <w:spacing w:after="0"/>
        <w:jc w:val="center"/>
        <w:rPr>
          <w:rFonts w:ascii="Times New Roman" w:hAnsi="Times New Roman"/>
          <w:b/>
          <w:color w:val="000000"/>
          <w:sz w:val="24"/>
          <w:lang w:val="en-US"/>
        </w:rPr>
      </w:pPr>
    </w:p>
    <w:p w:rsidR="0014706A" w:rsidRDefault="0014706A">
      <w:pPr>
        <w:spacing w:after="0"/>
        <w:jc w:val="center"/>
        <w:rPr>
          <w:rFonts w:ascii="Times New Roman" w:hAnsi="Times New Roman"/>
          <w:b/>
          <w:color w:val="000000"/>
          <w:sz w:val="24"/>
          <w:lang w:val="en-US"/>
        </w:rPr>
      </w:pPr>
    </w:p>
    <w:p w:rsidR="0014706A" w:rsidRDefault="0014706A">
      <w:pPr>
        <w:spacing w:after="0"/>
        <w:jc w:val="center"/>
        <w:rPr>
          <w:rFonts w:ascii="Times New Roman" w:hAnsi="Times New Roman"/>
          <w:b/>
          <w:color w:val="000000"/>
          <w:sz w:val="24"/>
          <w:lang w:val="en-US"/>
        </w:rPr>
      </w:pPr>
    </w:p>
    <w:p w:rsidR="0014706A" w:rsidRDefault="0014706A">
      <w:pPr>
        <w:spacing w:after="0"/>
        <w:jc w:val="center"/>
        <w:rPr>
          <w:rFonts w:ascii="Times New Roman" w:hAnsi="Times New Roman"/>
          <w:b/>
          <w:color w:val="000000"/>
          <w:sz w:val="24"/>
          <w:lang w:val="en-US"/>
        </w:rPr>
      </w:pPr>
    </w:p>
    <w:p w:rsidR="0014706A" w:rsidRPr="00576710" w:rsidRDefault="0014706A">
      <w:pPr>
        <w:spacing w:after="0"/>
        <w:jc w:val="center"/>
        <w:rPr>
          <w:rFonts w:ascii="Times New Roman" w:hAnsi="Times New Roman"/>
          <w:b/>
          <w:color w:val="000000"/>
          <w:sz w:val="24"/>
          <w:lang w:val="en-US"/>
        </w:rPr>
      </w:pPr>
    </w:p>
    <w:p w:rsidR="008612E1" w:rsidRPr="00576710" w:rsidRDefault="00576710">
      <w:pPr>
        <w:spacing w:after="0"/>
        <w:jc w:val="center"/>
        <w:rPr>
          <w:lang w:val="en-US"/>
        </w:rPr>
      </w:pPr>
      <w:r w:rsidRPr="00576710">
        <w:rPr>
          <w:rFonts w:ascii="Times New Roman" w:hAnsi="Times New Roman"/>
          <w:b/>
          <w:color w:val="000000"/>
          <w:sz w:val="24"/>
          <w:lang w:val="en-US"/>
        </w:rPr>
        <w:t>CONVENTION</w:t>
      </w:r>
      <w:r w:rsidRPr="00576710">
        <w:rPr>
          <w:lang w:val="en-US"/>
        </w:rPr>
        <w:br/>
      </w:r>
      <w:r w:rsidRPr="00576710">
        <w:rPr>
          <w:rFonts w:ascii="Times New Roman" w:hAnsi="Times New Roman"/>
          <w:b/>
          <w:color w:val="000000"/>
          <w:sz w:val="24"/>
          <w:lang w:val="en-US"/>
        </w:rPr>
        <w:t>BETWEEN THE REPUBLIC OF KAZAKHSTAN</w:t>
      </w:r>
      <w:r w:rsidRPr="00576710">
        <w:rPr>
          <w:lang w:val="en-US"/>
        </w:rPr>
        <w:br/>
      </w:r>
      <w:r w:rsidRPr="00576710">
        <w:rPr>
          <w:rFonts w:ascii="Times New Roman" w:hAnsi="Times New Roman"/>
          <w:b/>
          <w:color w:val="000000"/>
          <w:sz w:val="24"/>
          <w:lang w:val="en-US"/>
        </w:rPr>
        <w:t>AND</w:t>
      </w:r>
      <w:r w:rsidR="00EF0575">
        <w:rPr>
          <w:rFonts w:ascii="Times New Roman" w:hAnsi="Times New Roman"/>
          <w:b/>
          <w:color w:val="000000"/>
          <w:sz w:val="24"/>
          <w:lang w:val="en-US"/>
        </w:rPr>
        <w:t xml:space="preserve"> </w:t>
      </w:r>
      <w:r w:rsidRPr="00576710">
        <w:rPr>
          <w:rFonts w:ascii="Times New Roman" w:hAnsi="Times New Roman"/>
          <w:b/>
          <w:color w:val="000000"/>
          <w:sz w:val="24"/>
          <w:lang w:val="en-US"/>
        </w:rPr>
        <w:t>THE SLOVAK REPUBLIC</w:t>
      </w:r>
      <w:r w:rsidRPr="00576710">
        <w:rPr>
          <w:lang w:val="en-US"/>
        </w:rPr>
        <w:br/>
      </w:r>
      <w:r w:rsidRPr="00576710">
        <w:rPr>
          <w:rFonts w:ascii="Times New Roman" w:hAnsi="Times New Roman"/>
          <w:b/>
          <w:color w:val="000000"/>
          <w:sz w:val="24"/>
          <w:lang w:val="en-US"/>
        </w:rPr>
        <w:t>FOR THE AVOIDANCE OF DOUBLE TAXATION AND THE</w:t>
      </w:r>
      <w:r w:rsidRPr="00576710">
        <w:rPr>
          <w:lang w:val="en-US"/>
        </w:rPr>
        <w:br/>
      </w:r>
      <w:r w:rsidRPr="00576710">
        <w:rPr>
          <w:rFonts w:ascii="Times New Roman" w:hAnsi="Times New Roman"/>
          <w:b/>
          <w:color w:val="000000"/>
          <w:sz w:val="24"/>
          <w:lang w:val="en-US"/>
        </w:rPr>
        <w:t>PREVENTION OF FISCAL EVASION WITH RESPECT TO TAXES</w:t>
      </w:r>
      <w:r w:rsidRPr="00576710">
        <w:rPr>
          <w:lang w:val="en-US"/>
        </w:rPr>
        <w:br/>
      </w:r>
      <w:r w:rsidRPr="00576710">
        <w:rPr>
          <w:rFonts w:ascii="Times New Roman" w:hAnsi="Times New Roman"/>
          <w:b/>
          <w:color w:val="000000"/>
          <w:sz w:val="24"/>
          <w:lang w:val="en-US"/>
        </w:rPr>
        <w:t>ON INCOME AND ON CAPITAL</w:t>
      </w:r>
    </w:p>
    <w:p w:rsidR="008612E1" w:rsidRPr="00576710" w:rsidRDefault="00576710">
      <w:pPr>
        <w:spacing w:after="0"/>
        <w:rPr>
          <w:lang w:val="en-US"/>
        </w:rPr>
      </w:pPr>
      <w:r w:rsidRPr="00576710">
        <w:rPr>
          <w:rFonts w:ascii="Times New Roman" w:hAnsi="Times New Roman"/>
          <w:color w:val="000000"/>
          <w:sz w:val="24"/>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The Republic of Kazakhstan and the Slovak Republic,</w:t>
      </w:r>
    </w:p>
    <w:p w:rsidR="008612E1" w:rsidRDefault="006C30E4">
      <w:pPr>
        <w:spacing w:after="0"/>
        <w:jc w:val="both"/>
        <w:rPr>
          <w:rFonts w:ascii="Times New Roman" w:hAnsi="Times New Roman" w:cs="Times New Roman"/>
          <w:color w:val="000000"/>
          <w:sz w:val="28"/>
          <w:szCs w:val="28"/>
          <w:lang w:val="en-US"/>
        </w:rPr>
      </w:pPr>
      <w:r>
        <w:rPr>
          <w:rFonts w:ascii="Times New Roman" w:hAnsi="Times New Roman" w:cs="Times New Roman"/>
          <w:b/>
          <w:bCs/>
          <w:sz w:val="28"/>
          <w:szCs w:val="28"/>
          <w:lang w:val="en-US"/>
        </w:rPr>
        <w:t>[</w:t>
      </w:r>
      <w:r w:rsidRPr="0049413D">
        <w:rPr>
          <w:rFonts w:ascii="Times New Roman" w:hAnsi="Times New Roman" w:cs="Times New Roman"/>
          <w:b/>
          <w:bCs/>
          <w:sz w:val="28"/>
          <w:szCs w:val="28"/>
          <w:lang w:val="en-US"/>
        </w:rPr>
        <w:t>REPLACED by para</w:t>
      </w:r>
      <w:r>
        <w:rPr>
          <w:rFonts w:ascii="Times New Roman" w:hAnsi="Times New Roman" w:cs="Times New Roman"/>
          <w:b/>
          <w:bCs/>
          <w:sz w:val="28"/>
          <w:szCs w:val="28"/>
          <w:lang w:val="en-US"/>
        </w:rPr>
        <w:t>graph 1 of Article 6 of the MLI]</w:t>
      </w:r>
      <w:r w:rsidRPr="006C30E4">
        <w:rPr>
          <w:rFonts w:ascii="Times New Roman" w:hAnsi="Times New Roman" w:cs="Times New Roman"/>
          <w:b/>
          <w:bCs/>
          <w:sz w:val="28"/>
          <w:szCs w:val="28"/>
          <w:lang w:val="en-US"/>
        </w:rPr>
        <w:t xml:space="preserve"> </w:t>
      </w:r>
      <w:r w:rsidR="00576710" w:rsidRPr="006C30E4">
        <w:rPr>
          <w:rFonts w:ascii="Times New Roman" w:hAnsi="Times New Roman" w:cs="Times New Roman"/>
          <w:color w:val="000000"/>
          <w:sz w:val="28"/>
          <w:szCs w:val="28"/>
          <w:lang w:val="en-US"/>
        </w:rPr>
        <w:t>desiring to conclude a Convention for the avoidance of double taxation and the prevention of fiscal evasion with respect to taxes on income and on capital,</w:t>
      </w:r>
    </w:p>
    <w:p w:rsidR="006C30E4" w:rsidRPr="006C30E4" w:rsidRDefault="006C30E4">
      <w:pPr>
        <w:spacing w:after="0"/>
        <w:jc w:val="both"/>
        <w:rPr>
          <w:rFonts w:ascii="Times New Roman" w:hAnsi="Times New Roman" w:cs="Times New Roman"/>
          <w:color w:val="000000"/>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5"/>
      </w:tblGrid>
      <w:tr w:rsidR="00EF0575" w:rsidRPr="00D57D21" w:rsidTr="0019441D">
        <w:tc>
          <w:tcPr>
            <w:tcW w:w="9265" w:type="dxa"/>
            <w:tcBorders>
              <w:top w:val="single" w:sz="4" w:space="0" w:color="auto"/>
              <w:bottom w:val="single" w:sz="4" w:space="0" w:color="auto"/>
            </w:tcBorders>
            <w:shd w:val="clear" w:color="auto" w:fill="auto"/>
          </w:tcPr>
          <w:p w:rsidR="00EF0575" w:rsidRPr="0049413D" w:rsidRDefault="00EF0575" w:rsidP="0019441D">
            <w:pPr>
              <w:contextualSpacing/>
              <w:jc w:val="both"/>
              <w:rPr>
                <w:rFonts w:ascii="Times New Roman" w:eastAsia="SimSun" w:hAnsi="Times New Roman" w:cs="Times New Roman"/>
                <w:i/>
                <w:sz w:val="28"/>
                <w:szCs w:val="28"/>
                <w:u w:val="single"/>
                <w:lang w:val="en-GB"/>
              </w:rPr>
            </w:pPr>
            <w:bookmarkStart w:id="1" w:name="_Hlk37219761"/>
            <w:r w:rsidRPr="006C5447">
              <w:rPr>
                <w:rFonts w:ascii="Times New Roman" w:eastAsia="SimSun" w:hAnsi="Times New Roman" w:cs="Times New Roman"/>
                <w:i/>
                <w:sz w:val="28"/>
                <w:szCs w:val="28"/>
                <w:lang w:val="en-US"/>
              </w:rPr>
              <w:t>The following preamble text described in paragraph 1 of Article 6 of the MLI</w:t>
            </w:r>
            <w:r w:rsidRPr="006C5447">
              <w:rPr>
                <w:rFonts w:eastAsia="SimSun"/>
                <w:i/>
                <w:lang w:val="en-US"/>
              </w:rPr>
              <w:t xml:space="preserve"> </w:t>
            </w:r>
            <w:r w:rsidRPr="0049413D">
              <w:rPr>
                <w:rFonts w:ascii="Times New Roman" w:eastAsia="SimSun" w:hAnsi="Times New Roman" w:cs="Times New Roman"/>
                <w:i/>
                <w:sz w:val="28"/>
                <w:szCs w:val="28"/>
                <w:lang w:val="en-GB"/>
              </w:rPr>
              <w:t>replaces the preamble language of th</w:t>
            </w:r>
            <w:r>
              <w:rPr>
                <w:rFonts w:ascii="Times New Roman" w:eastAsia="SimSun" w:hAnsi="Times New Roman" w:cs="Times New Roman"/>
                <w:i/>
                <w:sz w:val="28"/>
                <w:szCs w:val="28"/>
                <w:lang w:val="en-GB"/>
              </w:rPr>
              <w:t>is</w:t>
            </w:r>
            <w:r w:rsidRPr="0049413D">
              <w:rPr>
                <w:rFonts w:ascii="Times New Roman" w:eastAsia="SimSun" w:hAnsi="Times New Roman" w:cs="Times New Roman"/>
                <w:i/>
                <w:sz w:val="28"/>
                <w:szCs w:val="28"/>
                <w:lang w:val="en-GB"/>
              </w:rPr>
              <w:t xml:space="preserve"> Convention:</w:t>
            </w:r>
          </w:p>
          <w:p w:rsidR="00EF0575" w:rsidRPr="0049413D" w:rsidRDefault="00EF0575" w:rsidP="0019441D">
            <w:pPr>
              <w:keepNext/>
              <w:keepLines/>
              <w:tabs>
                <w:tab w:val="left" w:pos="850"/>
                <w:tab w:val="left" w:pos="1191"/>
                <w:tab w:val="left" w:pos="1531"/>
              </w:tabs>
              <w:ind w:right="680"/>
              <w:contextualSpacing/>
              <w:outlineLvl w:val="2"/>
              <w:rPr>
                <w:rFonts w:ascii="Times New Roman" w:eastAsia="SimSun" w:hAnsi="Times New Roman" w:cs="Times New Roman"/>
                <w:bCs/>
                <w:i/>
                <w:iCs/>
                <w:sz w:val="28"/>
                <w:szCs w:val="28"/>
                <w:lang w:val="en-GB"/>
              </w:rPr>
            </w:pPr>
          </w:p>
          <w:p w:rsidR="00EF0575" w:rsidRPr="0049413D" w:rsidRDefault="00EF0575" w:rsidP="0019441D">
            <w:pPr>
              <w:keepNext/>
              <w:keepLines/>
              <w:tabs>
                <w:tab w:val="left" w:pos="850"/>
                <w:tab w:val="left" w:pos="1191"/>
                <w:tab w:val="left" w:pos="1531"/>
              </w:tabs>
              <w:ind w:right="680"/>
              <w:contextualSpacing/>
              <w:jc w:val="center"/>
              <w:outlineLvl w:val="2"/>
              <w:rPr>
                <w:rFonts w:ascii="Times New Roman" w:eastAsia="SimSun" w:hAnsi="Times New Roman" w:cs="Times New Roman"/>
                <w:bCs/>
                <w:iCs/>
                <w:sz w:val="28"/>
                <w:szCs w:val="28"/>
                <w:lang w:val="en-GB"/>
              </w:rPr>
            </w:pPr>
            <w:r w:rsidRPr="0049413D">
              <w:rPr>
                <w:rFonts w:ascii="Times New Roman" w:eastAsia="SimSun" w:hAnsi="Times New Roman" w:cs="Times New Roman"/>
                <w:bCs/>
                <w:iCs/>
                <w:sz w:val="28"/>
                <w:szCs w:val="28"/>
                <w:lang w:val="en-GB"/>
              </w:rPr>
              <w:t>ARTICLE 6 – PURPOSE OF A COVERED TAX AGREEMENT</w:t>
            </w:r>
          </w:p>
          <w:p w:rsidR="00EF0575" w:rsidRPr="0049413D" w:rsidRDefault="00EF0575" w:rsidP="0019441D">
            <w:pPr>
              <w:tabs>
                <w:tab w:val="left" w:pos="454"/>
                <w:tab w:val="left" w:pos="892"/>
                <w:tab w:val="left" w:pos="1320"/>
              </w:tabs>
              <w:autoSpaceDE w:val="0"/>
              <w:autoSpaceDN w:val="0"/>
              <w:adjustRightInd w:val="0"/>
              <w:contextualSpacing/>
              <w:jc w:val="center"/>
              <w:rPr>
                <w:rFonts w:ascii="Times New Roman" w:eastAsia="SimSun" w:hAnsi="Times New Roman" w:cs="Times New Roman"/>
                <w:iCs/>
                <w:sz w:val="28"/>
                <w:szCs w:val="28"/>
                <w:lang w:val="en-GB" w:eastAsia="en-GB"/>
              </w:rPr>
            </w:pPr>
          </w:p>
          <w:p w:rsidR="00EF0575" w:rsidRPr="0049413D" w:rsidRDefault="00EF0575" w:rsidP="0019441D">
            <w:pPr>
              <w:tabs>
                <w:tab w:val="left" w:pos="720"/>
                <w:tab w:val="left" w:pos="1440"/>
                <w:tab w:val="left" w:pos="2160"/>
                <w:tab w:val="left" w:pos="2880"/>
                <w:tab w:val="left" w:pos="3612"/>
                <w:tab w:val="center" w:pos="6237"/>
              </w:tabs>
              <w:overflowPunct w:val="0"/>
              <w:rPr>
                <w:rFonts w:ascii="Times New Roman" w:eastAsia="SimSun" w:hAnsi="Times New Roman" w:cs="Times New Roman"/>
                <w:sz w:val="28"/>
                <w:szCs w:val="28"/>
                <w:lang w:val="en-US"/>
              </w:rPr>
            </w:pPr>
            <w:r w:rsidRPr="0049413D">
              <w:rPr>
                <w:rFonts w:ascii="Times New Roman" w:eastAsia="SimSun" w:hAnsi="Times New Roman" w:cs="Times New Roman"/>
                <w:kern w:val="2"/>
                <w:sz w:val="28"/>
                <w:szCs w:val="28"/>
                <w:lang w:val="en-US" w:eastAsia="ja-JP"/>
              </w:rPr>
              <w:t>Intending to eliminate double taxation with respect to the taxes covered by the Convention without creating opportunities for non-taxation or reduced taxation through tax evasion or avoidance (including through treaty-shopping arrangements aimed at obtaining reliefs provided in the Convention for the indirect benefit of residents of third jurisdictions),</w:t>
            </w:r>
          </w:p>
          <w:p w:rsidR="00EF0575" w:rsidRPr="0049413D" w:rsidRDefault="00EF0575" w:rsidP="0019441D">
            <w:pPr>
              <w:tabs>
                <w:tab w:val="left" w:pos="567"/>
              </w:tabs>
              <w:autoSpaceDE w:val="0"/>
              <w:autoSpaceDN w:val="0"/>
              <w:adjustRightInd w:val="0"/>
              <w:contextualSpacing/>
              <w:rPr>
                <w:rFonts w:ascii="Times New Roman" w:eastAsia="SimSun" w:hAnsi="Times New Roman" w:cs="Times New Roman"/>
                <w:iCs/>
                <w:sz w:val="28"/>
                <w:szCs w:val="28"/>
                <w:lang w:val="en-US"/>
              </w:rPr>
            </w:pPr>
          </w:p>
        </w:tc>
      </w:tr>
    </w:tbl>
    <w:bookmarkEnd w:id="1"/>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have agreed as follows:</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1</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PERSONAL SCOPE</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This Convention shall apply to persons who are residents of one or both of the Contracting States.</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2</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TAXES COVERED</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lastRenderedPageBreak/>
        <w:t>1. This Convention shall apply to taxes on income and on capital imposed on behalf of a Contracting State or of its administrative subdivisions or local authorities, irrespective of the manner in which they are levied.</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2. There shall be regarded as taxes on income and on capital all taxes imposed on total income, on total capital, or on elements of income or of capital, including taxes on gains from the alienation of movable or immovable property, taxes on the total amounts of wages or salaries paid by enterprises, as well as taxes on capital appreciation.</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xml:space="preserve">3. The existing taxes to which the Convention shall apply are in particular: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a) in the Republic of Kazakhstan:</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(i) the corporate income tax;</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(ii) the individual income tax;</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xml:space="preserve">(iii) the tax on property;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xml:space="preserve">(hereafter referred to as «Kazakhstan tax»);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b) in the Slovak Republic:</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(i) the tax on income of individuals;</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(ii) the tax on income of legal persons;</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(iii) the tax on immovable property; (hereafter referred to as «Slovak tax»).</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4. The Convention shall apply also to any identical or substantially similar taxes which are imposed after the date of signature of the Convention in addition to, or in place of, the existing taxes. The competent authorities of the Contracting States shall notify each other of any significant changes which have been made in their respective taxation laws.</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rsidP="00EF0575">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3</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GENERAL DEFINITIONS</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lastRenderedPageBreak/>
        <w:t>1. For the purposes of this Convention, unless the context otherwise requires:</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a) the terms:</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(i) «Kazakhstan» means the Republic of Kazakhstan, and when used in a geographical sense, the term «Kazakhstan» includes the territorial waters, and also the exclusive economic zone and continental shelf in which Kazakhstan, for certain purposes, may exercise sovereign rights and jurisdiction in accordance with international law and in which the law relating to Kazakhstan tax are applicable;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(ii) «Slovakia» means the Slovak Republic and, used in a geographical sense, means its territory, within which the Slovak Republic exercises its sovereign rights and jurisdiction, in accordance with the rules of international law;</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b) the terms «a Contracting State» and «the other Contracting State» mean Kazakhstan or Slovakia, as the context requires;</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c) the term «person» includes an individual, a company and any other body of persons;</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d) the term «company» means any body corporate or any entity which is treated as a body corporate for tax purposes;</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e) the terms «enterprise of a Contracting State» and «enterprise of the other Contracting State» mean respectively an enterprise carried on by a resident of a Contracting State and an enterprise carried on by a resident of the other Contracting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f) the term «international traffic» means any transport by a ship, aircraft or road vehicle operated by an enterprise of a Contracting Stale, except when the ship, aircraft or road vehicle is operated solely between places in the other Contracting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g) the term «competent authority» means:</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(i) in Kazakhstan: the Ministry of Finance or its authorised representative; (ii) in Slovakia: the Minister of Finance or his authorised representative; h) the term «national» means:</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lastRenderedPageBreak/>
        <w:t>(i) any individual possessing the nationality of a Contracting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(ii) any legal person, partnership or association deriving its status as such from the laws in force in a Contracting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2. As regards the application of the Convention at any time by a Contracting State any term not defined therein shall, unless the context otherwise requires, have the meaning which it has at that time under the law of that State concerning the taxes to which the Convention applies.</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4</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RESIDENT</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1. For the purposes of this Convention, the term «resident of a Contracting State» means any person who, under the laws of that State, is liable to tax therein by reason of his domicile, residence, place of management or any other criterion of a similar nature, and also includes the Contracting State and any administrative subdivision or local authority thereof. This term, however, does not include any person who is liable to tax in that State in respect only of income from sources in that State or capital situated therein.</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2. Where by reason of the provisions of paragraph 1 an individual is a resident of both Contracting States, then his status shall be determined as follows:</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a) he shall be deemed to be a resident of the State in which he has a permanent home available to him; if he has a permanent home available to him in both States, he shall be deemed to be a resident of the State with which his personal and economic relations are closer (centre of vital interests);</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b) if the State in which he has his centre of vital interests cannot be determined, or if he has not a permanent home available to him in either State, he shall be deemed to be a resident of the State in which he has an habitual abode;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c) if he has an habitual abode in both States or in neither of them, he shall be deemed to be a resident of the State of which he is a national;</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lastRenderedPageBreak/>
        <w:t>d) if the status of a resident cannot be determined according to sub-paragraphs a) to c), the competent authorities of the Contracting States shall settle the question by mutual agreement.</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6C30E4" w:rsidRDefault="00576710" w:rsidP="006C30E4">
      <w:pPr>
        <w:widowControl w:val="0"/>
        <w:tabs>
          <w:tab w:val="left" w:pos="720"/>
          <w:tab w:val="left" w:pos="1440"/>
          <w:tab w:val="left" w:pos="2160"/>
          <w:tab w:val="left" w:pos="2880"/>
          <w:tab w:val="left" w:pos="3612"/>
          <w:tab w:val="center" w:pos="6237"/>
        </w:tabs>
        <w:overflowPunct w:val="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xml:space="preserve">3. </w:t>
      </w:r>
      <w:r w:rsidR="006C30E4" w:rsidRPr="00EF0575">
        <w:rPr>
          <w:rFonts w:ascii="Times New Roman" w:hAnsi="Times New Roman" w:cs="Times New Roman"/>
          <w:color w:val="000000"/>
          <w:sz w:val="28"/>
          <w:szCs w:val="28"/>
          <w:lang w:val="en-US"/>
        </w:rPr>
        <w:t> </w:t>
      </w:r>
      <w:r w:rsidR="006C30E4" w:rsidRPr="006951DE">
        <w:rPr>
          <w:rFonts w:ascii="Times New Roman" w:hAnsi="Times New Roman" w:cs="Times New Roman"/>
          <w:b/>
          <w:bCs/>
          <w:sz w:val="28"/>
          <w:szCs w:val="28"/>
          <w:lang w:val="en-US"/>
        </w:rPr>
        <w:t xml:space="preserve">[REPLACED by paragraph 1 of Article </w:t>
      </w:r>
      <w:r w:rsidR="006C30E4">
        <w:rPr>
          <w:rFonts w:ascii="Times New Roman" w:hAnsi="Times New Roman" w:cs="Times New Roman"/>
          <w:b/>
          <w:bCs/>
          <w:sz w:val="28"/>
          <w:szCs w:val="28"/>
          <w:lang w:val="en-US"/>
        </w:rPr>
        <w:t>4</w:t>
      </w:r>
      <w:r w:rsidR="006C30E4" w:rsidRPr="006951DE">
        <w:rPr>
          <w:rFonts w:ascii="Times New Roman" w:hAnsi="Times New Roman" w:cs="Times New Roman"/>
          <w:b/>
          <w:bCs/>
          <w:sz w:val="28"/>
          <w:szCs w:val="28"/>
          <w:lang w:val="en-US"/>
        </w:rPr>
        <w:t xml:space="preserve"> of the MLI]</w:t>
      </w:r>
      <w:r w:rsidR="006C30E4" w:rsidRPr="006C30E4">
        <w:rPr>
          <w:rFonts w:ascii="Times New Roman" w:hAnsi="Times New Roman" w:cs="Times New Roman"/>
          <w:b/>
          <w:bCs/>
          <w:sz w:val="28"/>
          <w:szCs w:val="28"/>
          <w:lang w:val="en-US"/>
        </w:rPr>
        <w:t xml:space="preserve"> </w:t>
      </w:r>
      <w:r w:rsidRPr="006C30E4">
        <w:rPr>
          <w:rFonts w:ascii="Times New Roman" w:hAnsi="Times New Roman" w:cs="Times New Roman"/>
          <w:color w:val="000000"/>
          <w:sz w:val="28"/>
          <w:szCs w:val="28"/>
          <w:lang w:val="en-US"/>
        </w:rPr>
        <w:t>Where by reason of the provisions of paragraph 1 a person other than an individual is a resident of both Contracting States, then it shall be deemed to be a resident of the State in which its place of effective management is situated.</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EF0575" w:rsidRPr="00A60CA9" w:rsidRDefault="00EF0575" w:rsidP="00EF0575">
      <w:pPr>
        <w:pBdr>
          <w:top w:val="single" w:sz="4" w:space="1" w:color="auto"/>
          <w:left w:val="single" w:sz="4" w:space="4" w:color="auto"/>
          <w:bottom w:val="single" w:sz="4" w:space="1" w:color="auto"/>
          <w:right w:val="single" w:sz="4" w:space="4" w:color="auto"/>
        </w:pBdr>
        <w:contextualSpacing/>
        <w:rPr>
          <w:rFonts w:ascii="Times New Roman" w:hAnsi="Times New Roman" w:cs="Times New Roman"/>
          <w:i/>
          <w:sz w:val="28"/>
          <w:szCs w:val="28"/>
          <w:lang w:val="en-US"/>
        </w:rPr>
      </w:pPr>
      <w:r w:rsidRPr="00A60CA9">
        <w:rPr>
          <w:rFonts w:ascii="Times New Roman" w:hAnsi="Times New Roman" w:cs="Times New Roman"/>
          <w:i/>
          <w:iCs/>
          <w:sz w:val="28"/>
          <w:szCs w:val="28"/>
          <w:lang w:val="en-US" w:eastAsia="en-GB"/>
        </w:rPr>
        <w:t xml:space="preserve">The following paragraph 1 of Article 4 of the </w:t>
      </w:r>
      <w:r>
        <w:rPr>
          <w:rFonts w:ascii="Times New Roman" w:hAnsi="Times New Roman" w:cs="Times New Roman"/>
          <w:i/>
          <w:iCs/>
          <w:sz w:val="28"/>
          <w:szCs w:val="28"/>
          <w:lang w:val="en-US" w:eastAsia="en-GB"/>
        </w:rPr>
        <w:t>MLI</w:t>
      </w:r>
      <w:r w:rsidRPr="00A60CA9">
        <w:rPr>
          <w:rFonts w:ascii="Times New Roman" w:hAnsi="Times New Roman" w:cs="Times New Roman"/>
          <w:i/>
          <w:iCs/>
          <w:sz w:val="28"/>
          <w:szCs w:val="28"/>
          <w:lang w:val="en-US" w:eastAsia="en-GB"/>
        </w:rPr>
        <w:t xml:space="preserve"> replaces </w:t>
      </w:r>
      <w:r w:rsidRPr="00A60CA9">
        <w:rPr>
          <w:rFonts w:ascii="Times New Roman" w:hAnsi="Times New Roman" w:cs="Times New Roman"/>
          <w:i/>
          <w:sz w:val="28"/>
          <w:szCs w:val="28"/>
          <w:lang w:val="en-US"/>
        </w:rPr>
        <w:t>paragraph 3 of Article 4 of the Convention:</w:t>
      </w:r>
    </w:p>
    <w:p w:rsidR="00EF0575" w:rsidRDefault="00EF0575" w:rsidP="00EF0575">
      <w:pPr>
        <w:pBdr>
          <w:top w:val="single" w:sz="4" w:space="1" w:color="auto"/>
          <w:left w:val="single" w:sz="4" w:space="4" w:color="auto"/>
          <w:bottom w:val="single" w:sz="4" w:space="1" w:color="auto"/>
          <w:right w:val="single" w:sz="4" w:space="4" w:color="auto"/>
        </w:pBdr>
        <w:contextualSpacing/>
        <w:rPr>
          <w:i/>
          <w:sz w:val="28"/>
          <w:szCs w:val="28"/>
          <w:lang w:val="en-US"/>
        </w:rPr>
      </w:pPr>
    </w:p>
    <w:p w:rsidR="00EF0575" w:rsidRPr="000D72BC" w:rsidRDefault="00EF0575" w:rsidP="00EF0575">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lang w:val="en-US"/>
        </w:rPr>
      </w:pPr>
      <w:r w:rsidRPr="000D72BC">
        <w:rPr>
          <w:rFonts w:ascii="Times New Roman" w:hAnsi="Times New Roman" w:cs="Times New Roman"/>
          <w:sz w:val="28"/>
          <w:szCs w:val="28"/>
          <w:lang w:val="en-US"/>
        </w:rPr>
        <w:t>ARTICLE 4</w:t>
      </w:r>
      <w:r>
        <w:rPr>
          <w:rFonts w:ascii="Times New Roman" w:hAnsi="Times New Roman" w:cs="Times New Roman"/>
          <w:sz w:val="28"/>
          <w:szCs w:val="28"/>
          <w:lang w:val="en-US"/>
        </w:rPr>
        <w:t xml:space="preserve"> </w:t>
      </w:r>
      <w:r w:rsidRPr="000D72BC">
        <w:rPr>
          <w:rFonts w:ascii="Times New Roman" w:hAnsi="Times New Roman" w:cs="Times New Roman"/>
          <w:sz w:val="28"/>
          <w:szCs w:val="28"/>
          <w:lang w:val="en-US"/>
        </w:rPr>
        <w:t>– DUAL RESIDENT ENTITIES</w:t>
      </w:r>
    </w:p>
    <w:p w:rsidR="00EF0575" w:rsidRPr="00A4773E" w:rsidRDefault="00EF0575" w:rsidP="00EF0575">
      <w:pPr>
        <w:pBdr>
          <w:top w:val="single" w:sz="4" w:space="1" w:color="auto"/>
          <w:left w:val="single" w:sz="4" w:space="4" w:color="auto"/>
          <w:bottom w:val="single" w:sz="4" w:space="1" w:color="auto"/>
          <w:right w:val="single" w:sz="4" w:space="4" w:color="auto"/>
        </w:pBdr>
        <w:spacing w:after="240" w:line="240" w:lineRule="auto"/>
        <w:ind w:firstLine="400"/>
        <w:jc w:val="both"/>
        <w:rPr>
          <w:rFonts w:ascii="Times New Roman" w:eastAsia="Times New Roman" w:hAnsi="Times New Roman" w:cs="Times New Roman"/>
          <w:color w:val="000000"/>
          <w:sz w:val="28"/>
          <w:szCs w:val="28"/>
          <w:lang w:val="en-US" w:eastAsia="ru-RU"/>
        </w:rPr>
      </w:pPr>
      <w:r w:rsidRPr="000D72BC">
        <w:rPr>
          <w:rFonts w:ascii="Times New Roman" w:hAnsi="Times New Roman" w:cs="Times New Roman"/>
          <w:sz w:val="28"/>
          <w:szCs w:val="28"/>
          <w:lang w:val="en-US"/>
        </w:rPr>
        <w:t xml:space="preserve">Where by reason of the provisions of </w:t>
      </w:r>
      <w:r>
        <w:rPr>
          <w:rFonts w:ascii="Times New Roman" w:hAnsi="Times New Roman" w:cs="Times New Roman"/>
          <w:sz w:val="28"/>
          <w:szCs w:val="28"/>
          <w:lang w:val="en-US"/>
        </w:rPr>
        <w:t>the Convention</w:t>
      </w:r>
      <w:r w:rsidRPr="000D72BC">
        <w:rPr>
          <w:rFonts w:ascii="Times New Roman" w:hAnsi="Times New Roman" w:cs="Times New Roman"/>
          <w:sz w:val="28"/>
          <w:szCs w:val="28"/>
          <w:lang w:val="en-US"/>
        </w:rPr>
        <w:t xml:space="preserve"> a person other than an individual is a resident of more than one Contracting Jurisdiction, the competent authorities of the Contracting </w:t>
      </w:r>
      <w:r>
        <w:rPr>
          <w:rFonts w:ascii="Times New Roman" w:hAnsi="Times New Roman" w:cs="Times New Roman"/>
          <w:sz w:val="28"/>
          <w:szCs w:val="28"/>
          <w:lang w:val="en-US"/>
        </w:rPr>
        <w:t>State</w:t>
      </w:r>
      <w:r w:rsidRPr="000D72BC">
        <w:rPr>
          <w:rFonts w:ascii="Times New Roman" w:hAnsi="Times New Roman" w:cs="Times New Roman"/>
          <w:sz w:val="28"/>
          <w:szCs w:val="28"/>
          <w:lang w:val="en-US"/>
        </w:rPr>
        <w:t xml:space="preserve"> shall endeavour to determine by mutual agreement the Contracting </w:t>
      </w:r>
      <w:r>
        <w:rPr>
          <w:rFonts w:ascii="Times New Roman" w:hAnsi="Times New Roman" w:cs="Times New Roman"/>
          <w:sz w:val="28"/>
          <w:szCs w:val="28"/>
          <w:lang w:val="en-US"/>
        </w:rPr>
        <w:t>State</w:t>
      </w:r>
      <w:r w:rsidRPr="000D72BC">
        <w:rPr>
          <w:rFonts w:ascii="Times New Roman" w:hAnsi="Times New Roman" w:cs="Times New Roman"/>
          <w:sz w:val="28"/>
          <w:szCs w:val="28"/>
          <w:lang w:val="en-US"/>
        </w:rPr>
        <w:t xml:space="preserve"> of which such person shall be deemed to be a resident for the purposes of the </w:t>
      </w:r>
      <w:r>
        <w:rPr>
          <w:rFonts w:ascii="Times New Roman" w:hAnsi="Times New Roman" w:cs="Times New Roman"/>
          <w:sz w:val="28"/>
          <w:szCs w:val="28"/>
          <w:lang w:val="en-US"/>
        </w:rPr>
        <w:t>Convention</w:t>
      </w:r>
      <w:r w:rsidRPr="000D72BC">
        <w:rPr>
          <w:rFonts w:ascii="Times New Roman" w:hAnsi="Times New Roman" w:cs="Times New Roman"/>
          <w:sz w:val="28"/>
          <w:szCs w:val="28"/>
          <w:lang w:val="en-US"/>
        </w:rPr>
        <w:t xml:space="preserve">, having regard to its place of effective management, the place where it is incorporated or otherwise constituted and any other relevant factors. In the absence of such agreement, such person shall not be entitled to any relief or exemption from tax provided by the </w:t>
      </w:r>
      <w:r>
        <w:rPr>
          <w:rFonts w:ascii="Times New Roman" w:hAnsi="Times New Roman" w:cs="Times New Roman"/>
          <w:sz w:val="28"/>
          <w:szCs w:val="28"/>
          <w:lang w:val="en-US"/>
        </w:rPr>
        <w:t>Convention</w:t>
      </w:r>
      <w:r w:rsidRPr="000D72BC">
        <w:rPr>
          <w:rFonts w:ascii="Times New Roman" w:hAnsi="Times New Roman" w:cs="Times New Roman"/>
          <w:sz w:val="28"/>
          <w:szCs w:val="28"/>
          <w:lang w:val="en-US"/>
        </w:rPr>
        <w:t xml:space="preserve"> except to the extent and in such manner as may be agreed upon by the competent authorities of the Contracting </w:t>
      </w:r>
      <w:r>
        <w:rPr>
          <w:rFonts w:ascii="Times New Roman" w:hAnsi="Times New Roman" w:cs="Times New Roman"/>
          <w:sz w:val="28"/>
          <w:szCs w:val="28"/>
          <w:lang w:val="en-US"/>
        </w:rPr>
        <w:t>States</w:t>
      </w:r>
      <w:r w:rsidRPr="000D72BC">
        <w:rPr>
          <w:rFonts w:ascii="Times New Roman" w:hAnsi="Times New Roman" w:cs="Times New Roman"/>
          <w:sz w:val="28"/>
          <w:szCs w:val="28"/>
          <w:lang w:val="en-US"/>
        </w:rPr>
        <w:t>.</w:t>
      </w:r>
    </w:p>
    <w:p w:rsidR="008612E1" w:rsidRPr="00EF0575" w:rsidRDefault="008612E1">
      <w:pPr>
        <w:spacing w:after="0"/>
        <w:rPr>
          <w:rFonts w:ascii="Times New Roman" w:hAnsi="Times New Roman" w:cs="Times New Roman"/>
          <w:sz w:val="28"/>
          <w:szCs w:val="28"/>
          <w:lang w:val="en-US"/>
        </w:rPr>
      </w:pP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5</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PERMANENT ESTABLISHMENT</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1. For the purposes of this Convention, the term «permanent establishment» means a fixed place of business through which the-business of an enterprise is wholly or partly carried on,</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2. The term «permanent establishment» includes especially:</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a) a place of management;</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b) a branch;</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c) an office;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d) a factory;</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e) a workshop; and</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lastRenderedPageBreak/>
        <w:t>f) a mine, an oil or gas well, a quarry or any other place of extraction of natural resources.</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3. The term «permanent establishment» also inciudes:</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Default="00576710">
      <w:pPr>
        <w:spacing w:after="0"/>
        <w:jc w:val="both"/>
        <w:rPr>
          <w:rFonts w:ascii="Times New Roman" w:hAnsi="Times New Roman" w:cs="Times New Roman"/>
          <w:color w:val="000000"/>
          <w:sz w:val="28"/>
          <w:szCs w:val="28"/>
          <w:lang w:val="en-US"/>
        </w:rPr>
      </w:pPr>
      <w:r w:rsidRPr="00EF0575">
        <w:rPr>
          <w:rFonts w:ascii="Times New Roman" w:hAnsi="Times New Roman" w:cs="Times New Roman"/>
          <w:color w:val="000000"/>
          <w:sz w:val="28"/>
          <w:szCs w:val="28"/>
          <w:lang w:val="en-US"/>
        </w:rPr>
        <w:t>a)</w:t>
      </w:r>
      <w:r w:rsidR="006C30E4" w:rsidRPr="006C30E4">
        <w:rPr>
          <w:b/>
          <w:bCs/>
          <w:sz w:val="28"/>
          <w:szCs w:val="28"/>
          <w:shd w:val="clear" w:color="auto" w:fill="FFFFFF"/>
          <w:lang w:val="en-US"/>
        </w:rPr>
        <w:t xml:space="preserve"> </w:t>
      </w:r>
      <w:r w:rsidR="006C30E4" w:rsidRPr="006C30E4">
        <w:rPr>
          <w:rFonts w:ascii="Times New Roman" w:hAnsi="Times New Roman" w:cs="Times New Roman"/>
          <w:b/>
          <w:bCs/>
          <w:sz w:val="28"/>
          <w:szCs w:val="28"/>
          <w:shd w:val="clear" w:color="auto" w:fill="FFFFFF"/>
          <w:lang w:val="en-US"/>
        </w:rPr>
        <w:t>[MODIFIED by paragraph 1 of Article 14 of the MLI]</w:t>
      </w:r>
      <w:r w:rsidR="006C30E4" w:rsidRPr="006C30E4">
        <w:rPr>
          <w:rFonts w:ascii="Times New Roman" w:hAnsi="Times New Roman" w:cs="Times New Roman"/>
          <w:color w:val="000000"/>
          <w:sz w:val="28"/>
          <w:szCs w:val="28"/>
          <w:lang w:val="en-US"/>
        </w:rPr>
        <w:t xml:space="preserve"> </w:t>
      </w:r>
      <w:r w:rsidRPr="00EF0575">
        <w:rPr>
          <w:rFonts w:ascii="Times New Roman" w:hAnsi="Times New Roman" w:cs="Times New Roman"/>
          <w:color w:val="000000"/>
          <w:sz w:val="28"/>
          <w:szCs w:val="28"/>
          <w:lang w:val="en-US"/>
        </w:rPr>
        <w:t xml:space="preserve"> a building site or construction or installation or assembly project, or supervisory services connected therewith- but only if such site or project lasts for more than 9 months, or such services continue for more than 9 months; and</w:t>
      </w:r>
    </w:p>
    <w:p w:rsidR="0014706A" w:rsidRDefault="0014706A">
      <w:pPr>
        <w:spacing w:after="0"/>
        <w:jc w:val="both"/>
        <w:rPr>
          <w:rFonts w:ascii="Times New Roman" w:hAnsi="Times New Roman" w:cs="Times New Roman"/>
          <w:color w:val="000000"/>
          <w:sz w:val="28"/>
          <w:szCs w:val="28"/>
          <w:lang w:val="en-US"/>
        </w:rPr>
      </w:pPr>
    </w:p>
    <w:tbl>
      <w:tblPr>
        <w:tblStyle w:val="11"/>
        <w:tblW w:w="4999" w:type="pct"/>
        <w:tblCellMar>
          <w:top w:w="85" w:type="dxa"/>
          <w:left w:w="113" w:type="dxa"/>
          <w:bottom w:w="85" w:type="dxa"/>
          <w:right w:w="113" w:type="dxa"/>
        </w:tblCellMar>
        <w:tblLook w:val="04A0" w:firstRow="1" w:lastRow="0" w:firstColumn="1" w:lastColumn="0" w:noHBand="0" w:noVBand="1"/>
      </w:tblPr>
      <w:tblGrid>
        <w:gridCol w:w="9579"/>
      </w:tblGrid>
      <w:tr w:rsidR="00B26EA3" w:rsidRPr="00D57D21" w:rsidTr="0014706A">
        <w:tc>
          <w:tcPr>
            <w:tcW w:w="5000" w:type="pct"/>
          </w:tcPr>
          <w:p w:rsidR="00B26EA3" w:rsidRPr="00194011" w:rsidRDefault="00B26EA3" w:rsidP="0014706A">
            <w:pPr>
              <w:widowControl w:val="0"/>
              <w:kinsoku w:val="0"/>
              <w:autoSpaceDE w:val="0"/>
              <w:autoSpaceDN w:val="0"/>
              <w:spacing w:before="60" w:after="120" w:line="300" w:lineRule="auto"/>
              <w:jc w:val="both"/>
              <w:textAlignment w:val="center"/>
              <w:rPr>
                <w:rFonts w:eastAsia="SimSun" w:cs="Times New Roman"/>
                <w:i/>
                <w:szCs w:val="28"/>
                <w:lang w:val="en-US"/>
              </w:rPr>
            </w:pPr>
            <w:r w:rsidRPr="00194011">
              <w:rPr>
                <w:rFonts w:cs="Times New Roman"/>
                <w:i/>
                <w:iCs/>
                <w:szCs w:val="28"/>
                <w:lang w:val="en-US" w:eastAsia="en-GB"/>
              </w:rPr>
              <w:t xml:space="preserve">The following paragraph 1 of Article 14 of the MLI applies and supersedes the </w:t>
            </w:r>
            <w:r w:rsidR="006C30E4">
              <w:rPr>
                <w:i/>
                <w:iCs/>
                <w:szCs w:val="28"/>
                <w:lang w:val="en-US" w:eastAsia="en-GB"/>
              </w:rPr>
              <w:t>subparagraph 1) of paragraph 3 of Article 5 o</w:t>
            </w:r>
            <w:r w:rsidR="006C30E4" w:rsidRPr="0061485A">
              <w:rPr>
                <w:i/>
                <w:iCs/>
                <w:szCs w:val="28"/>
                <w:lang w:val="en-US" w:eastAsia="en-GB"/>
              </w:rPr>
              <w:t>f this Convention</w:t>
            </w:r>
            <w:r w:rsidRPr="00194011">
              <w:rPr>
                <w:rFonts w:cs="Times New Roman"/>
                <w:i/>
                <w:iCs/>
                <w:szCs w:val="28"/>
                <w:lang w:val="en-US" w:eastAsia="en-GB"/>
              </w:rPr>
              <w:t>:</w:t>
            </w:r>
          </w:p>
          <w:p w:rsidR="00B26EA3" w:rsidRPr="00194011" w:rsidRDefault="00B26EA3" w:rsidP="0014706A">
            <w:pPr>
              <w:widowControl w:val="0"/>
              <w:kinsoku w:val="0"/>
              <w:autoSpaceDE w:val="0"/>
              <w:autoSpaceDN w:val="0"/>
              <w:spacing w:before="60" w:after="120" w:line="300" w:lineRule="auto"/>
              <w:jc w:val="center"/>
              <w:textAlignment w:val="center"/>
              <w:rPr>
                <w:rFonts w:eastAsia="SimSun" w:cs="Times New Roman"/>
                <w:bCs/>
                <w:iCs/>
                <w:szCs w:val="28"/>
                <w:lang w:val="en-US"/>
              </w:rPr>
            </w:pPr>
            <w:r w:rsidRPr="00194011">
              <w:rPr>
                <w:rFonts w:eastAsia="SimSun" w:cs="Times New Roman"/>
                <w:bCs/>
                <w:iCs/>
                <w:szCs w:val="28"/>
                <w:lang w:val="en-US"/>
              </w:rPr>
              <w:t>ARTICLE 14 – SPLITTING-UP OF CONTRACTS</w:t>
            </w:r>
          </w:p>
          <w:p w:rsidR="00B26EA3" w:rsidRPr="00194011" w:rsidRDefault="00B26EA3" w:rsidP="0014706A">
            <w:pPr>
              <w:widowControl w:val="0"/>
              <w:kinsoku w:val="0"/>
              <w:autoSpaceDE w:val="0"/>
              <w:autoSpaceDN w:val="0"/>
              <w:spacing w:before="60" w:after="120" w:line="300" w:lineRule="auto"/>
              <w:ind w:firstLine="425"/>
              <w:jc w:val="both"/>
              <w:textAlignment w:val="center"/>
              <w:rPr>
                <w:rFonts w:cs="Times New Roman"/>
                <w:szCs w:val="28"/>
                <w:lang w:val="en-US" w:eastAsia="ja-JP"/>
              </w:rPr>
            </w:pPr>
            <w:r w:rsidRPr="00194011">
              <w:rPr>
                <w:rFonts w:cs="Times New Roman"/>
                <w:szCs w:val="28"/>
                <w:lang w:val="en-US" w:eastAsia="ja-JP"/>
              </w:rPr>
              <w:t xml:space="preserve">For the sole purpose of determining whether the </w:t>
            </w:r>
            <w:r w:rsidR="006C30E4" w:rsidRPr="00EF0575">
              <w:rPr>
                <w:rFonts w:cs="Times New Roman"/>
                <w:color w:val="000000"/>
                <w:szCs w:val="28"/>
                <w:lang w:val="en-US"/>
              </w:rPr>
              <w:t>9 months</w:t>
            </w:r>
            <w:r w:rsidR="006C30E4" w:rsidRPr="00194011">
              <w:rPr>
                <w:rFonts w:cs="Times New Roman"/>
                <w:szCs w:val="28"/>
                <w:lang w:val="en-US" w:eastAsia="ja-JP"/>
              </w:rPr>
              <w:t xml:space="preserve"> </w:t>
            </w:r>
            <w:r w:rsidR="006C30E4">
              <w:rPr>
                <w:rFonts w:cs="Times New Roman"/>
                <w:szCs w:val="28"/>
                <w:lang w:val="en-US" w:eastAsia="ja-JP"/>
              </w:rPr>
              <w:t>period</w:t>
            </w:r>
            <w:r w:rsidRPr="00194011">
              <w:rPr>
                <w:rFonts w:cs="Times New Roman"/>
                <w:szCs w:val="28"/>
                <w:lang w:val="en-US" w:eastAsia="ja-JP"/>
              </w:rPr>
              <w:t xml:space="preserve"> referred to in </w:t>
            </w:r>
            <w:r w:rsidR="006C30E4">
              <w:rPr>
                <w:rFonts w:cs="Times New Roman"/>
                <w:szCs w:val="28"/>
                <w:lang w:val="en-US" w:eastAsia="ja-JP"/>
              </w:rPr>
              <w:t xml:space="preserve">the </w:t>
            </w:r>
            <w:r w:rsidR="006C30E4">
              <w:rPr>
                <w:i/>
                <w:iCs/>
                <w:szCs w:val="28"/>
                <w:lang w:val="en-US" w:eastAsia="en-GB"/>
              </w:rPr>
              <w:t>subparagraph 1) of paragraph 3 of Article 5 o</w:t>
            </w:r>
            <w:r w:rsidR="006C30E4" w:rsidRPr="0061485A">
              <w:rPr>
                <w:i/>
                <w:iCs/>
                <w:szCs w:val="28"/>
                <w:lang w:val="en-US" w:eastAsia="en-GB"/>
              </w:rPr>
              <w:t>f this Convention</w:t>
            </w:r>
            <w:r w:rsidR="006C30E4" w:rsidRPr="00194011">
              <w:rPr>
                <w:rFonts w:cs="Times New Roman"/>
                <w:szCs w:val="28"/>
                <w:lang w:val="en-US" w:eastAsia="ja-JP"/>
              </w:rPr>
              <w:t xml:space="preserve"> </w:t>
            </w:r>
            <w:r w:rsidRPr="00194011">
              <w:rPr>
                <w:rFonts w:cs="Times New Roman"/>
                <w:szCs w:val="28"/>
                <w:lang w:val="en-US" w:eastAsia="ja-JP"/>
              </w:rPr>
              <w:t>has been exceeded:</w:t>
            </w:r>
          </w:p>
          <w:p w:rsidR="00B26EA3" w:rsidRPr="00194011" w:rsidRDefault="00B26EA3" w:rsidP="0014706A">
            <w:pPr>
              <w:widowControl w:val="0"/>
              <w:kinsoku w:val="0"/>
              <w:autoSpaceDE w:val="0"/>
              <w:autoSpaceDN w:val="0"/>
              <w:spacing w:before="60" w:after="120" w:line="300" w:lineRule="auto"/>
              <w:ind w:left="851" w:hanging="284"/>
              <w:jc w:val="both"/>
              <w:textAlignment w:val="center"/>
              <w:rPr>
                <w:rFonts w:eastAsia="Times New Roman" w:cs="Times New Roman"/>
                <w:color w:val="000000"/>
                <w:szCs w:val="28"/>
                <w:lang w:val="en-US" w:eastAsia="ru-RU"/>
              </w:rPr>
            </w:pPr>
            <w:r w:rsidRPr="00194011">
              <w:rPr>
                <w:rFonts w:eastAsia="Times New Roman" w:cs="Times New Roman"/>
                <w:color w:val="000000"/>
                <w:szCs w:val="28"/>
                <w:lang w:val="en-US" w:eastAsia="ru-RU"/>
              </w:rPr>
              <w:t xml:space="preserve">a) where an enterprise of a Contracting State carries on activities in the other Contracting State at a place that constitutes </w:t>
            </w:r>
            <w:r w:rsidR="006C30E4" w:rsidRPr="00EF0575">
              <w:rPr>
                <w:rFonts w:cs="Times New Roman"/>
                <w:color w:val="000000"/>
                <w:szCs w:val="28"/>
                <w:lang w:val="en-US"/>
              </w:rPr>
              <w:t>a building site or construction or installation or assembly project</w:t>
            </w:r>
            <w:r w:rsidRPr="00194011">
              <w:rPr>
                <w:rFonts w:eastAsia="Times New Roman" w:cs="Times New Roman"/>
                <w:color w:val="000000"/>
                <w:szCs w:val="28"/>
                <w:lang w:val="en-US" w:eastAsia="ru-RU"/>
              </w:rPr>
              <w:t xml:space="preserve"> or carries on </w:t>
            </w:r>
            <w:r w:rsidR="006C30E4" w:rsidRPr="00EF0575">
              <w:rPr>
                <w:rFonts w:cs="Times New Roman"/>
                <w:color w:val="000000"/>
                <w:szCs w:val="28"/>
                <w:lang w:val="en-US"/>
              </w:rPr>
              <w:t xml:space="preserve">supervisory services </w:t>
            </w:r>
            <w:r w:rsidRPr="00194011">
              <w:rPr>
                <w:rFonts w:eastAsia="Times New Roman" w:cs="Times New Roman"/>
                <w:color w:val="000000"/>
                <w:szCs w:val="28"/>
                <w:lang w:val="en-US" w:eastAsia="ru-RU"/>
              </w:rPr>
              <w:t>in connection with such a place, and these activities are carried on during one or more periods of time that, in the aggregate, exceed 30 days without exceeding the period</w:t>
            </w:r>
            <w:r w:rsidR="006C30E4">
              <w:rPr>
                <w:rFonts w:eastAsia="Times New Roman" w:cs="Times New Roman"/>
                <w:color w:val="000000"/>
                <w:szCs w:val="28"/>
                <w:lang w:val="en-US" w:eastAsia="ru-RU"/>
              </w:rPr>
              <w:t xml:space="preserve"> </w:t>
            </w:r>
            <w:r w:rsidR="006C30E4" w:rsidRPr="00EF0575">
              <w:rPr>
                <w:rFonts w:cs="Times New Roman"/>
                <w:color w:val="000000"/>
                <w:szCs w:val="28"/>
                <w:lang w:val="en-US"/>
              </w:rPr>
              <w:t>9 months</w:t>
            </w:r>
            <w:r w:rsidRPr="00194011">
              <w:rPr>
                <w:rFonts w:eastAsia="Times New Roman" w:cs="Times New Roman"/>
                <w:color w:val="000000"/>
                <w:szCs w:val="28"/>
                <w:lang w:val="en-US" w:eastAsia="ru-RU"/>
              </w:rPr>
              <w:t>; and</w:t>
            </w:r>
          </w:p>
          <w:p w:rsidR="00B26EA3" w:rsidRPr="00194011" w:rsidRDefault="00B26EA3" w:rsidP="0014706A">
            <w:pPr>
              <w:widowControl w:val="0"/>
              <w:kinsoku w:val="0"/>
              <w:autoSpaceDE w:val="0"/>
              <w:autoSpaceDN w:val="0"/>
              <w:spacing w:before="60" w:after="120" w:line="300" w:lineRule="auto"/>
              <w:ind w:left="851" w:hanging="284"/>
              <w:jc w:val="both"/>
              <w:textAlignment w:val="center"/>
              <w:rPr>
                <w:rFonts w:cs="Times New Roman"/>
                <w:szCs w:val="28"/>
                <w:lang w:val="en-US" w:eastAsia="ja-JP"/>
              </w:rPr>
            </w:pPr>
            <w:r w:rsidRPr="00194011">
              <w:rPr>
                <w:rFonts w:eastAsia="Times New Roman" w:cs="Times New Roman"/>
                <w:color w:val="000000"/>
                <w:szCs w:val="28"/>
                <w:lang w:val="en-US" w:eastAsia="ru-RU"/>
              </w:rPr>
              <w:t xml:space="preserve">b) where connected activities are carried on in that other Contracting State at (or, where </w:t>
            </w:r>
            <w:r w:rsidR="006C30E4">
              <w:rPr>
                <w:i/>
                <w:iCs/>
                <w:szCs w:val="28"/>
                <w:lang w:val="en-US" w:eastAsia="en-GB"/>
              </w:rPr>
              <w:t>subparagraph 1) of paragraph 3 of Article 5 o</w:t>
            </w:r>
            <w:r w:rsidR="006C30E4" w:rsidRPr="0061485A">
              <w:rPr>
                <w:i/>
                <w:iCs/>
                <w:szCs w:val="28"/>
                <w:lang w:val="en-US" w:eastAsia="en-GB"/>
              </w:rPr>
              <w:t>f this Convention</w:t>
            </w:r>
            <w:r w:rsidR="006C30E4" w:rsidRPr="00194011">
              <w:rPr>
                <w:rFonts w:cs="Times New Roman"/>
                <w:szCs w:val="28"/>
                <w:lang w:val="en-US" w:eastAsia="ja-JP"/>
              </w:rPr>
              <w:t xml:space="preserve"> </w:t>
            </w:r>
            <w:r w:rsidRPr="00194011">
              <w:rPr>
                <w:rFonts w:eastAsia="Times New Roman" w:cs="Times New Roman"/>
                <w:color w:val="000000"/>
                <w:szCs w:val="28"/>
                <w:lang w:val="en-US" w:eastAsia="ru-RU"/>
              </w:rPr>
              <w:t xml:space="preserve">applies to supervisory </w:t>
            </w:r>
            <w:r w:rsidR="006C30E4" w:rsidRPr="00EF0575">
              <w:rPr>
                <w:rFonts w:cs="Times New Roman"/>
                <w:color w:val="000000"/>
                <w:szCs w:val="28"/>
                <w:lang w:val="en-US"/>
              </w:rPr>
              <w:t>services</w:t>
            </w:r>
            <w:r w:rsidRPr="00194011">
              <w:rPr>
                <w:rFonts w:eastAsia="Times New Roman" w:cs="Times New Roman"/>
                <w:color w:val="000000"/>
                <w:szCs w:val="28"/>
                <w:lang w:val="en-US" w:eastAsia="ru-RU"/>
              </w:rPr>
              <w:t xml:space="preserve">, in connection with) the same </w:t>
            </w:r>
            <w:r w:rsidR="006C30E4" w:rsidRPr="00EF0575">
              <w:rPr>
                <w:rFonts w:cs="Times New Roman"/>
                <w:color w:val="000000"/>
                <w:szCs w:val="28"/>
                <w:lang w:val="en-US"/>
              </w:rPr>
              <w:t>building site or construction or installation or assembly project</w:t>
            </w:r>
            <w:r w:rsidRPr="00194011">
              <w:rPr>
                <w:rFonts w:eastAsia="Times New Roman" w:cs="Times New Roman"/>
                <w:color w:val="000000"/>
                <w:szCs w:val="28"/>
                <w:lang w:val="en-US" w:eastAsia="ru-RU"/>
              </w:rPr>
              <w:t xml:space="preserve"> during different periods of time, each exceeding 30 days, by one or more enterprises closely related to the first-mentioned enterprise,</w:t>
            </w:r>
          </w:p>
          <w:p w:rsidR="00B26EA3" w:rsidRPr="00194011" w:rsidRDefault="00B26EA3" w:rsidP="006C30E4">
            <w:pPr>
              <w:widowControl w:val="0"/>
              <w:kinsoku w:val="0"/>
              <w:autoSpaceDE w:val="0"/>
              <w:autoSpaceDN w:val="0"/>
              <w:spacing w:before="60" w:after="120" w:line="300" w:lineRule="auto"/>
              <w:jc w:val="both"/>
              <w:textAlignment w:val="center"/>
              <w:rPr>
                <w:rFonts w:cs="Times New Roman"/>
                <w:szCs w:val="28"/>
                <w:lang w:val="en-US" w:eastAsia="ja-JP"/>
              </w:rPr>
            </w:pPr>
            <w:r w:rsidRPr="00194011">
              <w:rPr>
                <w:rFonts w:cs="Times New Roman"/>
                <w:szCs w:val="28"/>
                <w:lang w:val="en-US" w:eastAsia="ja-JP"/>
              </w:rPr>
              <w:t xml:space="preserve">these different periods of time shall be added to the aggregate period of time during which the first-mentioned enterprise has carried on activities at that </w:t>
            </w:r>
            <w:r w:rsidR="006C30E4" w:rsidRPr="00EF0575">
              <w:rPr>
                <w:rFonts w:cs="Times New Roman"/>
                <w:color w:val="000000"/>
                <w:szCs w:val="28"/>
                <w:lang w:val="en-US"/>
              </w:rPr>
              <w:t>building site or construction or installation or assembly project</w:t>
            </w:r>
            <w:r w:rsidRPr="00194011">
              <w:rPr>
                <w:szCs w:val="28"/>
                <w:lang w:val="en-US" w:eastAsia="ja-JP"/>
              </w:rPr>
              <w:t xml:space="preserve">, or supervisory </w:t>
            </w:r>
            <w:r w:rsidR="006C30E4" w:rsidRPr="00EF0575">
              <w:rPr>
                <w:rFonts w:cs="Times New Roman"/>
                <w:color w:val="000000"/>
                <w:szCs w:val="28"/>
                <w:lang w:val="en-US"/>
              </w:rPr>
              <w:t>services</w:t>
            </w:r>
            <w:r w:rsidRPr="00194011">
              <w:rPr>
                <w:szCs w:val="28"/>
                <w:lang w:val="en-US" w:eastAsia="ja-JP"/>
              </w:rPr>
              <w:t xml:space="preserve"> in connection therewith</w:t>
            </w:r>
            <w:r w:rsidRPr="00194011">
              <w:rPr>
                <w:rFonts w:cs="Times New Roman"/>
                <w:szCs w:val="28"/>
                <w:lang w:val="en-US" w:eastAsia="ja-JP"/>
              </w:rPr>
              <w:t>.</w:t>
            </w:r>
          </w:p>
        </w:tc>
      </w:tr>
    </w:tbl>
    <w:p w:rsidR="00B26EA3" w:rsidRDefault="00B26EA3" w:rsidP="00B26EA3">
      <w:pPr>
        <w:spacing w:after="0" w:line="240" w:lineRule="auto"/>
        <w:jc w:val="both"/>
        <w:rPr>
          <w:rFonts w:ascii="Times New Roman" w:eastAsia="Times New Roman" w:hAnsi="Times New Roman" w:cs="Times New Roman"/>
          <w:color w:val="000000"/>
          <w:sz w:val="28"/>
          <w:szCs w:val="28"/>
          <w:lang w:val="en-US" w:eastAsia="ru-RU"/>
        </w:rPr>
      </w:pP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lastRenderedPageBreak/>
        <w:t>b) an installation or structure used for the exploration of natural resources, or supervisory services connected therewith, or a drilling rig or ship used for the exploration of natural resources, but only if such use last for more than 6 months, or such services continue for more than 6 months; and</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c) the furnishing of services, including consultancy services, by a resident through employees or other personnel engaged by the resident for such purpose, but only where the activities of that nature continue (for the same or connected project) within the country for a period or periods aggregating more than 6 months within any twelve month period.</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6C30E4"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xml:space="preserve">4. </w:t>
      </w:r>
      <w:r w:rsidR="00630D27" w:rsidRPr="00630D27">
        <w:rPr>
          <w:rFonts w:ascii="Times New Roman" w:hAnsi="Times New Roman" w:cs="Times New Roman"/>
          <w:b/>
          <w:bCs/>
          <w:sz w:val="28"/>
          <w:szCs w:val="28"/>
          <w:shd w:val="clear" w:color="auto" w:fill="FFFFFF"/>
          <w:lang w:val="en-US"/>
        </w:rPr>
        <w:t>[MODIFIED by paragraph 2 of Article 13 of the MLI]</w:t>
      </w:r>
      <w:r w:rsidR="00630D27">
        <w:rPr>
          <w:b/>
          <w:bCs/>
          <w:sz w:val="28"/>
          <w:szCs w:val="28"/>
          <w:shd w:val="clear" w:color="auto" w:fill="FFFFFF"/>
          <w:lang w:val="en-US"/>
        </w:rPr>
        <w:t xml:space="preserve"> </w:t>
      </w:r>
      <w:r w:rsidRPr="006C30E4">
        <w:rPr>
          <w:rFonts w:ascii="Times New Roman" w:hAnsi="Times New Roman" w:cs="Times New Roman"/>
          <w:color w:val="000000"/>
          <w:sz w:val="28"/>
          <w:szCs w:val="28"/>
          <w:lang w:val="en-US"/>
        </w:rPr>
        <w:t>Notwithstanding the preceding provisions of this Article, the term «permanent establishment» shall be deemed not to include:</w:t>
      </w:r>
    </w:p>
    <w:p w:rsidR="008612E1" w:rsidRPr="006C30E4" w:rsidRDefault="00576710">
      <w:pPr>
        <w:spacing w:after="0"/>
        <w:jc w:val="both"/>
        <w:rPr>
          <w:rFonts w:ascii="Times New Roman" w:hAnsi="Times New Roman" w:cs="Times New Roman"/>
          <w:sz w:val="28"/>
          <w:szCs w:val="28"/>
          <w:lang w:val="en-US"/>
        </w:rPr>
      </w:pPr>
      <w:r w:rsidRPr="006C30E4">
        <w:rPr>
          <w:rFonts w:ascii="Times New Roman" w:hAnsi="Times New Roman" w:cs="Times New Roman"/>
          <w:color w:val="000000"/>
          <w:sz w:val="28"/>
          <w:szCs w:val="28"/>
          <w:lang w:val="en-US"/>
        </w:rPr>
        <w:t> </w:t>
      </w:r>
    </w:p>
    <w:p w:rsidR="008612E1" w:rsidRPr="006C30E4" w:rsidRDefault="00576710">
      <w:pPr>
        <w:spacing w:after="0"/>
        <w:jc w:val="both"/>
        <w:rPr>
          <w:rFonts w:ascii="Times New Roman" w:hAnsi="Times New Roman" w:cs="Times New Roman"/>
          <w:sz w:val="28"/>
          <w:szCs w:val="28"/>
          <w:lang w:val="en-US"/>
        </w:rPr>
      </w:pPr>
      <w:r w:rsidRPr="006C30E4">
        <w:rPr>
          <w:rFonts w:ascii="Times New Roman" w:hAnsi="Times New Roman" w:cs="Times New Roman"/>
          <w:color w:val="000000"/>
          <w:sz w:val="28"/>
          <w:szCs w:val="28"/>
          <w:lang w:val="en-US"/>
        </w:rPr>
        <w:t>a) the use of facilities solely for the purpose of storage, display or delivery of goods or merchandise belonging to the enterprise;</w:t>
      </w:r>
    </w:p>
    <w:p w:rsidR="008612E1" w:rsidRPr="006C30E4" w:rsidRDefault="00576710">
      <w:pPr>
        <w:spacing w:after="0"/>
        <w:jc w:val="both"/>
        <w:rPr>
          <w:rFonts w:ascii="Times New Roman" w:hAnsi="Times New Roman" w:cs="Times New Roman"/>
          <w:sz w:val="28"/>
          <w:szCs w:val="28"/>
          <w:lang w:val="en-US"/>
        </w:rPr>
      </w:pPr>
      <w:r w:rsidRPr="006C30E4">
        <w:rPr>
          <w:rFonts w:ascii="Times New Roman" w:hAnsi="Times New Roman" w:cs="Times New Roman"/>
          <w:color w:val="000000"/>
          <w:sz w:val="28"/>
          <w:szCs w:val="28"/>
          <w:lang w:val="en-US"/>
        </w:rPr>
        <w:t> </w:t>
      </w:r>
    </w:p>
    <w:p w:rsidR="008612E1" w:rsidRPr="006C30E4" w:rsidRDefault="00576710">
      <w:pPr>
        <w:spacing w:after="0"/>
        <w:jc w:val="both"/>
        <w:rPr>
          <w:rFonts w:ascii="Times New Roman" w:hAnsi="Times New Roman" w:cs="Times New Roman"/>
          <w:sz w:val="28"/>
          <w:szCs w:val="28"/>
          <w:lang w:val="en-US"/>
        </w:rPr>
      </w:pPr>
      <w:r w:rsidRPr="006C30E4">
        <w:rPr>
          <w:rFonts w:ascii="Times New Roman" w:hAnsi="Times New Roman" w:cs="Times New Roman"/>
          <w:color w:val="000000"/>
          <w:sz w:val="28"/>
          <w:szCs w:val="28"/>
          <w:lang w:val="en-US"/>
        </w:rPr>
        <w:t>b) the maintenance of a stock of goods or merchandise belonging to the enterprise solely for the purpose of storage, display or delivery;</w:t>
      </w:r>
    </w:p>
    <w:p w:rsidR="008612E1" w:rsidRPr="006C30E4" w:rsidRDefault="00576710">
      <w:pPr>
        <w:spacing w:after="0"/>
        <w:jc w:val="both"/>
        <w:rPr>
          <w:rFonts w:ascii="Times New Roman" w:hAnsi="Times New Roman" w:cs="Times New Roman"/>
          <w:sz w:val="28"/>
          <w:szCs w:val="28"/>
          <w:lang w:val="en-US"/>
        </w:rPr>
      </w:pPr>
      <w:r w:rsidRPr="006C30E4">
        <w:rPr>
          <w:rFonts w:ascii="Times New Roman" w:hAnsi="Times New Roman" w:cs="Times New Roman"/>
          <w:color w:val="000000"/>
          <w:sz w:val="28"/>
          <w:szCs w:val="28"/>
          <w:lang w:val="en-US"/>
        </w:rPr>
        <w:t> </w:t>
      </w:r>
    </w:p>
    <w:p w:rsidR="008612E1" w:rsidRPr="006C30E4" w:rsidRDefault="00576710">
      <w:pPr>
        <w:spacing w:after="0"/>
        <w:jc w:val="both"/>
        <w:rPr>
          <w:rFonts w:ascii="Times New Roman" w:hAnsi="Times New Roman" w:cs="Times New Roman"/>
          <w:sz w:val="28"/>
          <w:szCs w:val="28"/>
          <w:lang w:val="en-US"/>
        </w:rPr>
      </w:pPr>
      <w:r w:rsidRPr="006C30E4">
        <w:rPr>
          <w:rFonts w:ascii="Times New Roman" w:hAnsi="Times New Roman" w:cs="Times New Roman"/>
          <w:color w:val="000000"/>
          <w:sz w:val="28"/>
          <w:szCs w:val="28"/>
          <w:lang w:val="en-US"/>
        </w:rPr>
        <w:t>c) the maintenance of a stock of goods or merchandise belonging to the enterprise solely for the purpose of processing by another enterprise;</w:t>
      </w:r>
    </w:p>
    <w:p w:rsidR="008612E1" w:rsidRPr="006C30E4" w:rsidRDefault="00576710">
      <w:pPr>
        <w:spacing w:after="0"/>
        <w:jc w:val="both"/>
        <w:rPr>
          <w:rFonts w:ascii="Times New Roman" w:hAnsi="Times New Roman" w:cs="Times New Roman"/>
          <w:sz w:val="28"/>
          <w:szCs w:val="28"/>
          <w:lang w:val="en-US"/>
        </w:rPr>
      </w:pPr>
      <w:r w:rsidRPr="006C30E4">
        <w:rPr>
          <w:rFonts w:ascii="Times New Roman" w:hAnsi="Times New Roman" w:cs="Times New Roman"/>
          <w:color w:val="000000"/>
          <w:sz w:val="28"/>
          <w:szCs w:val="28"/>
          <w:lang w:val="en-US"/>
        </w:rPr>
        <w:t> </w:t>
      </w:r>
    </w:p>
    <w:p w:rsidR="008612E1" w:rsidRPr="006C30E4" w:rsidRDefault="00576710">
      <w:pPr>
        <w:spacing w:after="0"/>
        <w:jc w:val="both"/>
        <w:rPr>
          <w:rFonts w:ascii="Times New Roman" w:hAnsi="Times New Roman" w:cs="Times New Roman"/>
          <w:sz w:val="28"/>
          <w:szCs w:val="28"/>
          <w:lang w:val="en-US"/>
        </w:rPr>
      </w:pPr>
      <w:r w:rsidRPr="006C30E4">
        <w:rPr>
          <w:rFonts w:ascii="Times New Roman" w:hAnsi="Times New Roman" w:cs="Times New Roman"/>
          <w:color w:val="000000"/>
          <w:sz w:val="28"/>
          <w:szCs w:val="28"/>
          <w:lang w:val="en-US"/>
        </w:rPr>
        <w:t>d) the maintenance of a fixed place of business solely for the purpose of purchasing goods or merchandise or of collecting information, for the enterprise;</w:t>
      </w:r>
    </w:p>
    <w:p w:rsidR="008612E1" w:rsidRPr="006C30E4" w:rsidRDefault="00576710">
      <w:pPr>
        <w:spacing w:after="0"/>
        <w:jc w:val="both"/>
        <w:rPr>
          <w:rFonts w:ascii="Times New Roman" w:hAnsi="Times New Roman" w:cs="Times New Roman"/>
          <w:sz w:val="28"/>
          <w:szCs w:val="28"/>
          <w:lang w:val="en-US"/>
        </w:rPr>
      </w:pPr>
      <w:r w:rsidRPr="006C30E4">
        <w:rPr>
          <w:rFonts w:ascii="Times New Roman" w:hAnsi="Times New Roman" w:cs="Times New Roman"/>
          <w:color w:val="000000"/>
          <w:sz w:val="28"/>
          <w:szCs w:val="28"/>
          <w:lang w:val="en-US"/>
        </w:rPr>
        <w:t> </w:t>
      </w:r>
    </w:p>
    <w:p w:rsidR="008612E1" w:rsidRPr="006C30E4" w:rsidRDefault="00576710">
      <w:pPr>
        <w:spacing w:after="0"/>
        <w:jc w:val="both"/>
        <w:rPr>
          <w:rFonts w:ascii="Times New Roman" w:hAnsi="Times New Roman" w:cs="Times New Roman"/>
          <w:sz w:val="28"/>
          <w:szCs w:val="28"/>
          <w:lang w:val="en-US"/>
        </w:rPr>
      </w:pPr>
      <w:r w:rsidRPr="006C30E4">
        <w:rPr>
          <w:rFonts w:ascii="Times New Roman" w:hAnsi="Times New Roman" w:cs="Times New Roman"/>
          <w:color w:val="000000"/>
          <w:sz w:val="28"/>
          <w:szCs w:val="28"/>
          <w:lang w:val="en-US"/>
        </w:rPr>
        <w:t>e) the maintenance of a fixed place of business solely for the purpose of carrying on, for the enterprise, any other activity of a preparatory or auxiliary character;</w:t>
      </w:r>
    </w:p>
    <w:p w:rsidR="008612E1" w:rsidRPr="006C30E4" w:rsidRDefault="00576710">
      <w:pPr>
        <w:spacing w:after="0"/>
        <w:jc w:val="both"/>
        <w:rPr>
          <w:rFonts w:ascii="Times New Roman" w:hAnsi="Times New Roman" w:cs="Times New Roman"/>
          <w:sz w:val="28"/>
          <w:szCs w:val="28"/>
          <w:lang w:val="en-US"/>
        </w:rPr>
      </w:pPr>
      <w:r w:rsidRPr="006C30E4">
        <w:rPr>
          <w:rFonts w:ascii="Times New Roman" w:hAnsi="Times New Roman" w:cs="Times New Roman"/>
          <w:color w:val="000000"/>
          <w:sz w:val="28"/>
          <w:szCs w:val="28"/>
          <w:lang w:val="en-US"/>
        </w:rPr>
        <w:t> </w:t>
      </w:r>
    </w:p>
    <w:p w:rsidR="008612E1" w:rsidRPr="006C30E4" w:rsidRDefault="00576710">
      <w:pPr>
        <w:spacing w:after="0"/>
        <w:jc w:val="both"/>
        <w:rPr>
          <w:rFonts w:ascii="Times New Roman" w:hAnsi="Times New Roman" w:cs="Times New Roman"/>
          <w:sz w:val="28"/>
          <w:szCs w:val="28"/>
          <w:lang w:val="en-US"/>
        </w:rPr>
      </w:pPr>
      <w:r w:rsidRPr="006C30E4">
        <w:rPr>
          <w:rFonts w:ascii="Times New Roman" w:hAnsi="Times New Roman" w:cs="Times New Roman"/>
          <w:color w:val="000000"/>
          <w:sz w:val="28"/>
          <w:szCs w:val="28"/>
          <w:lang w:val="en-US"/>
        </w:rPr>
        <w:t>f) 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8612E1" w:rsidRDefault="008612E1">
      <w:pPr>
        <w:spacing w:after="0"/>
        <w:jc w:val="both"/>
        <w:rPr>
          <w:rFonts w:ascii="Times New Roman" w:hAnsi="Times New Roman" w:cs="Times New Roman"/>
          <w:strike/>
          <w:color w:val="000000"/>
          <w:sz w:val="28"/>
          <w:szCs w:val="28"/>
          <w:lang w:val="en-US"/>
        </w:rPr>
      </w:pPr>
    </w:p>
    <w:tbl>
      <w:tblPr>
        <w:tblStyle w:val="TableGrid26"/>
        <w:tblW w:w="0" w:type="auto"/>
        <w:tblLook w:val="04A0" w:firstRow="1" w:lastRow="0" w:firstColumn="1" w:lastColumn="0" w:noHBand="0" w:noVBand="1"/>
      </w:tblPr>
      <w:tblGrid>
        <w:gridCol w:w="9289"/>
      </w:tblGrid>
      <w:tr w:rsidR="00B26EA3" w:rsidRPr="00D57D21" w:rsidTr="0014706A">
        <w:tc>
          <w:tcPr>
            <w:tcW w:w="9289" w:type="dxa"/>
            <w:tcBorders>
              <w:top w:val="single" w:sz="4" w:space="0" w:color="auto"/>
              <w:bottom w:val="nil"/>
            </w:tcBorders>
          </w:tcPr>
          <w:p w:rsidR="00B26EA3" w:rsidRPr="00BF0409" w:rsidRDefault="00B26EA3" w:rsidP="0014706A">
            <w:pPr>
              <w:contextualSpacing/>
              <w:jc w:val="both"/>
              <w:rPr>
                <w:rFonts w:ascii="Times New Roman" w:eastAsia="MS Mincho" w:hAnsi="Times New Roman" w:cs="Times New Roman"/>
                <w:i/>
                <w:iCs/>
                <w:sz w:val="24"/>
                <w:szCs w:val="24"/>
                <w:lang w:eastAsia="en-GB"/>
              </w:rPr>
            </w:pPr>
          </w:p>
        </w:tc>
      </w:tr>
      <w:tr w:rsidR="00B26EA3" w:rsidRPr="00D57D21" w:rsidTr="0014706A">
        <w:tc>
          <w:tcPr>
            <w:tcW w:w="9289" w:type="dxa"/>
            <w:tcBorders>
              <w:top w:val="nil"/>
              <w:bottom w:val="nil"/>
            </w:tcBorders>
          </w:tcPr>
          <w:p w:rsidR="00B26EA3" w:rsidRPr="00BF0409" w:rsidRDefault="00B26EA3" w:rsidP="0014706A">
            <w:pPr>
              <w:contextualSpacing/>
              <w:rPr>
                <w:rFonts w:ascii="Times New Roman" w:hAnsi="Times New Roman" w:cs="Times New Roman"/>
                <w:i/>
                <w:sz w:val="28"/>
                <w:szCs w:val="28"/>
              </w:rPr>
            </w:pPr>
            <w:r w:rsidRPr="00BF0409">
              <w:rPr>
                <w:rFonts w:ascii="Times New Roman" w:hAnsi="Times New Roman" w:cs="Times New Roman"/>
                <w:i/>
                <w:iCs/>
                <w:sz w:val="28"/>
                <w:szCs w:val="28"/>
                <w:lang w:eastAsia="en-GB"/>
              </w:rPr>
              <w:t xml:space="preserve">The following paragraph 2 of Article 13 of the MLI </w:t>
            </w:r>
            <w:r w:rsidR="00630D27">
              <w:rPr>
                <w:i/>
                <w:iCs/>
                <w:sz w:val="28"/>
                <w:szCs w:val="28"/>
                <w:lang w:val="en-US" w:eastAsia="en-GB"/>
              </w:rPr>
              <w:t>applies to</w:t>
            </w:r>
            <w:r w:rsidR="00630D27" w:rsidRPr="0061485A">
              <w:rPr>
                <w:i/>
                <w:iCs/>
                <w:sz w:val="28"/>
                <w:szCs w:val="28"/>
                <w:lang w:val="en-US" w:eastAsia="en-GB"/>
              </w:rPr>
              <w:t xml:space="preserve"> </w:t>
            </w:r>
            <w:r w:rsidRPr="00BF0409">
              <w:rPr>
                <w:rFonts w:ascii="Times New Roman" w:hAnsi="Times New Roman" w:cs="Times New Roman"/>
                <w:i/>
                <w:sz w:val="28"/>
                <w:szCs w:val="28"/>
              </w:rPr>
              <w:t>paragraph 4 of Article 5 of th</w:t>
            </w:r>
            <w:r>
              <w:rPr>
                <w:rFonts w:ascii="Times New Roman" w:hAnsi="Times New Roman" w:cs="Times New Roman"/>
                <w:i/>
                <w:sz w:val="28"/>
                <w:szCs w:val="28"/>
              </w:rPr>
              <w:t>is</w:t>
            </w:r>
            <w:r w:rsidRPr="00BF0409">
              <w:rPr>
                <w:rFonts w:ascii="Times New Roman" w:hAnsi="Times New Roman" w:cs="Times New Roman"/>
                <w:i/>
                <w:sz w:val="28"/>
                <w:szCs w:val="28"/>
              </w:rPr>
              <w:t xml:space="preserve"> Convention:</w:t>
            </w:r>
          </w:p>
          <w:p w:rsidR="00B26EA3" w:rsidRPr="00BF0409" w:rsidRDefault="00B26EA3" w:rsidP="0014706A">
            <w:pPr>
              <w:keepNext/>
              <w:keepLines/>
              <w:tabs>
                <w:tab w:val="left" w:pos="850"/>
                <w:tab w:val="left" w:pos="1191"/>
                <w:tab w:val="left" w:pos="1531"/>
              </w:tabs>
              <w:ind w:right="680"/>
              <w:contextualSpacing/>
              <w:outlineLvl w:val="2"/>
              <w:rPr>
                <w:rFonts w:ascii="Times New Roman" w:hAnsi="Times New Roman" w:cs="Times New Roman"/>
                <w:b/>
                <w:bCs/>
                <w:i/>
                <w:iCs/>
                <w:sz w:val="24"/>
                <w:szCs w:val="28"/>
              </w:rPr>
            </w:pPr>
          </w:p>
          <w:p w:rsidR="00B26EA3" w:rsidRPr="00BF0409" w:rsidRDefault="00B26EA3" w:rsidP="0014706A">
            <w:pPr>
              <w:keepNext/>
              <w:keepLines/>
              <w:tabs>
                <w:tab w:val="left" w:pos="850"/>
                <w:tab w:val="left" w:pos="1191"/>
                <w:tab w:val="left" w:pos="1531"/>
              </w:tabs>
              <w:ind w:right="680"/>
              <w:contextualSpacing/>
              <w:jc w:val="center"/>
              <w:outlineLvl w:val="2"/>
              <w:rPr>
                <w:rFonts w:ascii="Times New Roman" w:hAnsi="Times New Roman" w:cs="Times New Roman"/>
                <w:bCs/>
                <w:iCs/>
                <w:sz w:val="28"/>
                <w:szCs w:val="28"/>
                <w:lang w:eastAsia="en-GB"/>
              </w:rPr>
            </w:pPr>
            <w:r w:rsidRPr="00BF0409">
              <w:rPr>
                <w:rFonts w:ascii="Times New Roman" w:hAnsi="Times New Roman" w:cs="Times New Roman"/>
                <w:bCs/>
                <w:iCs/>
                <w:sz w:val="28"/>
                <w:szCs w:val="28"/>
                <w:lang w:eastAsia="en-GB"/>
              </w:rPr>
              <w:lastRenderedPageBreak/>
              <w:t>ARTICLE 13 – ARTIFICIAL AVOIDANCE OF PERMANENT ESTABLISHMENT STATUS THROUGH THE SPECIFIC ACTIVITY EXEMPTIONS</w:t>
            </w:r>
          </w:p>
          <w:p w:rsidR="00630D27" w:rsidRPr="00630D27" w:rsidRDefault="00630D27" w:rsidP="00630D27">
            <w:pPr>
              <w:keepNext/>
              <w:keepLines/>
              <w:tabs>
                <w:tab w:val="left" w:pos="850"/>
                <w:tab w:val="left" w:pos="1191"/>
                <w:tab w:val="left" w:pos="1531"/>
              </w:tabs>
              <w:ind w:right="680"/>
              <w:contextualSpacing/>
              <w:jc w:val="center"/>
              <w:outlineLvl w:val="2"/>
              <w:rPr>
                <w:rFonts w:ascii="Times New Roman" w:hAnsi="Times New Roman" w:cs="Times New Roman"/>
                <w:bCs/>
                <w:iCs/>
                <w:sz w:val="28"/>
                <w:szCs w:val="28"/>
                <w:lang w:val="en-US" w:eastAsia="en-GB"/>
              </w:rPr>
            </w:pPr>
            <w:r w:rsidRPr="00630D27">
              <w:rPr>
                <w:rFonts w:ascii="Times New Roman" w:hAnsi="Times New Roman" w:cs="Times New Roman"/>
                <w:sz w:val="28"/>
                <w:szCs w:val="28"/>
              </w:rPr>
              <w:t>(Option A)</w:t>
            </w:r>
          </w:p>
          <w:p w:rsidR="00B26EA3" w:rsidRPr="00BF0409" w:rsidRDefault="00B26EA3" w:rsidP="0014706A">
            <w:pPr>
              <w:tabs>
                <w:tab w:val="left" w:pos="454"/>
                <w:tab w:val="left" w:pos="879"/>
                <w:tab w:val="left" w:pos="1320"/>
              </w:tabs>
              <w:autoSpaceDE w:val="0"/>
              <w:autoSpaceDN w:val="0"/>
              <w:adjustRightInd w:val="0"/>
              <w:contextualSpacing/>
              <w:rPr>
                <w:rFonts w:ascii="Times New Roman" w:hAnsi="Times New Roman" w:cs="Times New Roman"/>
                <w:iCs/>
                <w:sz w:val="24"/>
                <w:szCs w:val="28"/>
                <w:lang w:eastAsia="en-GB"/>
              </w:rPr>
            </w:pPr>
          </w:p>
          <w:p w:rsidR="00B26EA3" w:rsidRPr="00BF0409" w:rsidRDefault="00B26EA3" w:rsidP="0014706A">
            <w:pPr>
              <w:tabs>
                <w:tab w:val="left" w:pos="720"/>
                <w:tab w:val="left" w:pos="1440"/>
                <w:tab w:val="left" w:pos="2160"/>
                <w:tab w:val="left" w:pos="2880"/>
                <w:tab w:val="left" w:pos="3612"/>
                <w:tab w:val="center" w:pos="6237"/>
              </w:tabs>
              <w:overflowPunct w:val="0"/>
              <w:spacing w:line="240" w:lineRule="exact"/>
              <w:rPr>
                <w:rFonts w:ascii="Times New Roman" w:hAnsi="Times New Roman" w:cs="Times New Roman"/>
                <w:sz w:val="28"/>
                <w:szCs w:val="28"/>
              </w:rPr>
            </w:pPr>
            <w:r w:rsidRPr="00BF0409">
              <w:rPr>
                <w:rFonts w:ascii="Times New Roman" w:hAnsi="Times New Roman" w:cs="Times New Roman"/>
                <w:sz w:val="28"/>
                <w:szCs w:val="28"/>
              </w:rPr>
              <w:tab/>
              <w:t>Notwithstanding the provisions of Article 5 of the Convention, the term “permanent establishment” shall be deemed not to include:</w:t>
            </w:r>
          </w:p>
          <w:p w:rsidR="00B26EA3" w:rsidRPr="00BF0409" w:rsidRDefault="00B26EA3" w:rsidP="0014706A">
            <w:pPr>
              <w:tabs>
                <w:tab w:val="left" w:pos="454"/>
                <w:tab w:val="left" w:pos="879"/>
                <w:tab w:val="left" w:pos="1320"/>
              </w:tabs>
              <w:autoSpaceDE w:val="0"/>
              <w:autoSpaceDN w:val="0"/>
              <w:adjustRightInd w:val="0"/>
              <w:contextualSpacing/>
              <w:rPr>
                <w:rFonts w:ascii="Times New Roman" w:hAnsi="Times New Roman" w:cs="Times New Roman"/>
                <w:sz w:val="28"/>
                <w:szCs w:val="28"/>
              </w:rPr>
            </w:pPr>
          </w:p>
          <w:p w:rsidR="00630D27" w:rsidRPr="006C30E4" w:rsidRDefault="00B26EA3" w:rsidP="00630D27">
            <w:pPr>
              <w:spacing w:after="0"/>
              <w:ind w:left="454" w:firstLine="142"/>
              <w:jc w:val="both"/>
              <w:rPr>
                <w:rFonts w:ascii="Times New Roman" w:hAnsi="Times New Roman" w:cs="Times New Roman"/>
                <w:sz w:val="28"/>
                <w:szCs w:val="28"/>
                <w:lang w:val="en-US"/>
              </w:rPr>
            </w:pPr>
            <w:r w:rsidRPr="00BF0409">
              <w:rPr>
                <w:rFonts w:ascii="Times New Roman" w:hAnsi="Times New Roman" w:cs="Times New Roman"/>
                <w:sz w:val="28"/>
                <w:szCs w:val="28"/>
              </w:rPr>
              <w:t>a)</w:t>
            </w:r>
            <w:r w:rsidRPr="00BF0409">
              <w:rPr>
                <w:rFonts w:ascii="Times New Roman" w:hAnsi="Times New Roman" w:cs="Times New Roman"/>
                <w:sz w:val="28"/>
                <w:szCs w:val="28"/>
              </w:rPr>
              <w:tab/>
            </w:r>
            <w:r w:rsidRPr="00BF0409">
              <w:rPr>
                <w:rFonts w:ascii="Times New Roman" w:hAnsi="Times New Roman" w:cs="Times New Roman"/>
                <w:sz w:val="28"/>
                <w:szCs w:val="28"/>
              </w:rPr>
              <w:tab/>
            </w:r>
            <w:r w:rsidR="00630D27" w:rsidRPr="006C30E4">
              <w:rPr>
                <w:rFonts w:ascii="Times New Roman" w:hAnsi="Times New Roman" w:cs="Times New Roman"/>
                <w:color w:val="000000"/>
                <w:sz w:val="28"/>
                <w:szCs w:val="28"/>
                <w:lang w:val="en-US"/>
              </w:rPr>
              <w:t>a) the use of facilities solely for the purpose of storage, display or delivery of goods or merchandise belonging to the enterprise;</w:t>
            </w:r>
          </w:p>
          <w:p w:rsidR="00630D27" w:rsidRPr="006C30E4" w:rsidRDefault="00630D27" w:rsidP="00630D27">
            <w:pPr>
              <w:spacing w:after="0"/>
              <w:ind w:left="454" w:firstLine="142"/>
              <w:jc w:val="both"/>
              <w:rPr>
                <w:rFonts w:ascii="Times New Roman" w:hAnsi="Times New Roman" w:cs="Times New Roman"/>
                <w:sz w:val="28"/>
                <w:szCs w:val="28"/>
                <w:lang w:val="en-US"/>
              </w:rPr>
            </w:pPr>
            <w:r w:rsidRPr="006C30E4">
              <w:rPr>
                <w:rFonts w:ascii="Times New Roman" w:hAnsi="Times New Roman" w:cs="Times New Roman"/>
                <w:color w:val="000000"/>
                <w:sz w:val="28"/>
                <w:szCs w:val="28"/>
                <w:lang w:val="en-US"/>
              </w:rPr>
              <w:t> </w:t>
            </w:r>
          </w:p>
          <w:p w:rsidR="00630D27" w:rsidRPr="006C30E4" w:rsidRDefault="00630D27" w:rsidP="00630D27">
            <w:pPr>
              <w:spacing w:after="0"/>
              <w:ind w:left="454" w:firstLine="142"/>
              <w:jc w:val="both"/>
              <w:rPr>
                <w:rFonts w:ascii="Times New Roman" w:hAnsi="Times New Roman" w:cs="Times New Roman"/>
                <w:sz w:val="28"/>
                <w:szCs w:val="28"/>
                <w:lang w:val="en-US"/>
              </w:rPr>
            </w:pPr>
            <w:r w:rsidRPr="006C30E4">
              <w:rPr>
                <w:rFonts w:ascii="Times New Roman" w:hAnsi="Times New Roman" w:cs="Times New Roman"/>
                <w:color w:val="000000"/>
                <w:sz w:val="28"/>
                <w:szCs w:val="28"/>
                <w:lang w:val="en-US"/>
              </w:rPr>
              <w:t>b) the maintenance of a stock of goods or merchandise belonging to the enterprise solely for the purpose of storage, display or delivery;</w:t>
            </w:r>
          </w:p>
          <w:p w:rsidR="00630D27" w:rsidRPr="006C30E4" w:rsidRDefault="00630D27" w:rsidP="00630D27">
            <w:pPr>
              <w:spacing w:after="0"/>
              <w:ind w:left="454" w:firstLine="142"/>
              <w:jc w:val="both"/>
              <w:rPr>
                <w:rFonts w:ascii="Times New Roman" w:hAnsi="Times New Roman" w:cs="Times New Roman"/>
                <w:sz w:val="28"/>
                <w:szCs w:val="28"/>
                <w:lang w:val="en-US"/>
              </w:rPr>
            </w:pPr>
            <w:r w:rsidRPr="006C30E4">
              <w:rPr>
                <w:rFonts w:ascii="Times New Roman" w:hAnsi="Times New Roman" w:cs="Times New Roman"/>
                <w:color w:val="000000"/>
                <w:sz w:val="28"/>
                <w:szCs w:val="28"/>
                <w:lang w:val="en-US"/>
              </w:rPr>
              <w:t> </w:t>
            </w:r>
          </w:p>
          <w:p w:rsidR="00630D27" w:rsidRPr="006C30E4" w:rsidRDefault="00630D27" w:rsidP="00630D27">
            <w:pPr>
              <w:spacing w:after="0"/>
              <w:ind w:left="454" w:firstLine="142"/>
              <w:jc w:val="both"/>
              <w:rPr>
                <w:rFonts w:ascii="Times New Roman" w:hAnsi="Times New Roman" w:cs="Times New Roman"/>
                <w:sz w:val="28"/>
                <w:szCs w:val="28"/>
                <w:lang w:val="en-US"/>
              </w:rPr>
            </w:pPr>
            <w:r w:rsidRPr="006C30E4">
              <w:rPr>
                <w:rFonts w:ascii="Times New Roman" w:hAnsi="Times New Roman" w:cs="Times New Roman"/>
                <w:color w:val="000000"/>
                <w:sz w:val="28"/>
                <w:szCs w:val="28"/>
                <w:lang w:val="en-US"/>
              </w:rPr>
              <w:t>c) the maintenance of a stock of goods or merchandise belonging to the enterprise solely for the purpose of processing by another enterprise;</w:t>
            </w:r>
          </w:p>
          <w:p w:rsidR="00630D27" w:rsidRPr="006C30E4" w:rsidRDefault="00630D27" w:rsidP="00630D27">
            <w:pPr>
              <w:spacing w:after="0"/>
              <w:ind w:left="454" w:firstLine="142"/>
              <w:jc w:val="both"/>
              <w:rPr>
                <w:rFonts w:ascii="Times New Roman" w:hAnsi="Times New Roman" w:cs="Times New Roman"/>
                <w:sz w:val="28"/>
                <w:szCs w:val="28"/>
                <w:lang w:val="en-US"/>
              </w:rPr>
            </w:pPr>
            <w:r w:rsidRPr="006C30E4">
              <w:rPr>
                <w:rFonts w:ascii="Times New Roman" w:hAnsi="Times New Roman" w:cs="Times New Roman"/>
                <w:color w:val="000000"/>
                <w:sz w:val="28"/>
                <w:szCs w:val="28"/>
                <w:lang w:val="en-US"/>
              </w:rPr>
              <w:t> </w:t>
            </w:r>
          </w:p>
          <w:p w:rsidR="00630D27" w:rsidRPr="006C30E4" w:rsidRDefault="00630D27" w:rsidP="00630D27">
            <w:pPr>
              <w:spacing w:after="0"/>
              <w:ind w:left="454" w:firstLine="142"/>
              <w:jc w:val="both"/>
              <w:rPr>
                <w:rFonts w:ascii="Times New Roman" w:hAnsi="Times New Roman" w:cs="Times New Roman"/>
                <w:sz w:val="28"/>
                <w:szCs w:val="28"/>
                <w:lang w:val="en-US"/>
              </w:rPr>
            </w:pPr>
            <w:r w:rsidRPr="006C30E4">
              <w:rPr>
                <w:rFonts w:ascii="Times New Roman" w:hAnsi="Times New Roman" w:cs="Times New Roman"/>
                <w:color w:val="000000"/>
                <w:sz w:val="28"/>
                <w:szCs w:val="28"/>
                <w:lang w:val="en-US"/>
              </w:rPr>
              <w:t>d) the maintenance of a fixed place of business solely for the purpose of purchasing goods or merchandise or of collecting information, for the enterprise;</w:t>
            </w:r>
          </w:p>
          <w:p w:rsidR="00630D27" w:rsidRPr="006C30E4" w:rsidRDefault="00630D27" w:rsidP="00630D27">
            <w:pPr>
              <w:spacing w:after="0"/>
              <w:ind w:left="454" w:firstLine="142"/>
              <w:jc w:val="both"/>
              <w:rPr>
                <w:rFonts w:ascii="Times New Roman" w:hAnsi="Times New Roman" w:cs="Times New Roman"/>
                <w:sz w:val="28"/>
                <w:szCs w:val="28"/>
                <w:lang w:val="en-US"/>
              </w:rPr>
            </w:pPr>
            <w:r w:rsidRPr="006C30E4">
              <w:rPr>
                <w:rFonts w:ascii="Times New Roman" w:hAnsi="Times New Roman" w:cs="Times New Roman"/>
                <w:color w:val="000000"/>
                <w:sz w:val="28"/>
                <w:szCs w:val="28"/>
                <w:lang w:val="en-US"/>
              </w:rPr>
              <w:t> </w:t>
            </w:r>
          </w:p>
          <w:p w:rsidR="00630D27" w:rsidRPr="006C30E4" w:rsidRDefault="00630D27" w:rsidP="00630D27">
            <w:pPr>
              <w:spacing w:after="0"/>
              <w:ind w:left="454" w:firstLine="142"/>
              <w:jc w:val="both"/>
              <w:rPr>
                <w:rFonts w:ascii="Times New Roman" w:hAnsi="Times New Roman" w:cs="Times New Roman"/>
                <w:sz w:val="28"/>
                <w:szCs w:val="28"/>
                <w:lang w:val="en-US"/>
              </w:rPr>
            </w:pPr>
            <w:r w:rsidRPr="006C30E4">
              <w:rPr>
                <w:rFonts w:ascii="Times New Roman" w:hAnsi="Times New Roman" w:cs="Times New Roman"/>
                <w:color w:val="000000"/>
                <w:sz w:val="28"/>
                <w:szCs w:val="28"/>
                <w:lang w:val="en-US"/>
              </w:rPr>
              <w:t>e) the maintenance of a fixed place of business solely for the purpose of carrying on, for the enterprise, any other activity of a preparatory or auxiliary character;</w:t>
            </w:r>
          </w:p>
          <w:p w:rsidR="00630D27" w:rsidRPr="006C30E4" w:rsidRDefault="00630D27" w:rsidP="00630D27">
            <w:pPr>
              <w:spacing w:after="0"/>
              <w:ind w:left="454" w:firstLine="142"/>
              <w:jc w:val="both"/>
              <w:rPr>
                <w:rFonts w:ascii="Times New Roman" w:hAnsi="Times New Roman" w:cs="Times New Roman"/>
                <w:sz w:val="28"/>
                <w:szCs w:val="28"/>
                <w:lang w:val="en-US"/>
              </w:rPr>
            </w:pPr>
            <w:r w:rsidRPr="006C30E4">
              <w:rPr>
                <w:rFonts w:ascii="Times New Roman" w:hAnsi="Times New Roman" w:cs="Times New Roman"/>
                <w:color w:val="000000"/>
                <w:sz w:val="28"/>
                <w:szCs w:val="28"/>
                <w:lang w:val="en-US"/>
              </w:rPr>
              <w:t> </w:t>
            </w:r>
          </w:p>
          <w:p w:rsidR="00630D27" w:rsidRPr="006C30E4" w:rsidRDefault="00630D27" w:rsidP="00630D27">
            <w:pPr>
              <w:spacing w:after="0"/>
              <w:ind w:left="454" w:firstLine="142"/>
              <w:jc w:val="both"/>
              <w:rPr>
                <w:rFonts w:ascii="Times New Roman" w:hAnsi="Times New Roman" w:cs="Times New Roman"/>
                <w:sz w:val="28"/>
                <w:szCs w:val="28"/>
                <w:lang w:val="en-US"/>
              </w:rPr>
            </w:pPr>
            <w:r w:rsidRPr="006C30E4">
              <w:rPr>
                <w:rFonts w:ascii="Times New Roman" w:hAnsi="Times New Roman" w:cs="Times New Roman"/>
                <w:color w:val="000000"/>
                <w:sz w:val="28"/>
                <w:szCs w:val="28"/>
                <w:lang w:val="en-US"/>
              </w:rPr>
              <w:t>f) the maintenance of a fixed place of business solely for any combination of activities mentioned in sub-paragraphs a) to e), provided that the overall activity of the fixed place of business resulting from this combination is of a preparatory or auxiliary character.</w:t>
            </w:r>
          </w:p>
          <w:p w:rsidR="00630D27" w:rsidRDefault="00630D27" w:rsidP="00630D27">
            <w:pPr>
              <w:spacing w:after="0"/>
              <w:ind w:left="454" w:firstLine="142"/>
              <w:jc w:val="both"/>
              <w:rPr>
                <w:rFonts w:ascii="Times New Roman" w:hAnsi="Times New Roman" w:cs="Times New Roman"/>
                <w:strike/>
                <w:color w:val="000000"/>
                <w:sz w:val="28"/>
                <w:szCs w:val="28"/>
                <w:lang w:val="en-US"/>
              </w:rPr>
            </w:pPr>
          </w:p>
          <w:p w:rsidR="00B26EA3" w:rsidRPr="00630D27" w:rsidRDefault="00B26EA3" w:rsidP="0014706A">
            <w:pPr>
              <w:tabs>
                <w:tab w:val="left" w:pos="720"/>
                <w:tab w:val="right" w:pos="1877"/>
                <w:tab w:val="left" w:pos="2160"/>
                <w:tab w:val="left" w:pos="2880"/>
                <w:tab w:val="left" w:pos="3612"/>
                <w:tab w:val="center" w:pos="6237"/>
              </w:tabs>
              <w:overflowPunct w:val="0"/>
              <w:spacing w:line="240" w:lineRule="exact"/>
              <w:ind w:left="2160" w:hanging="2160"/>
              <w:rPr>
                <w:rFonts w:ascii="Times New Roman" w:hAnsi="Times New Roman" w:cs="Times New Roman"/>
                <w:sz w:val="28"/>
                <w:szCs w:val="28"/>
                <w:lang w:val="en-US"/>
              </w:rPr>
            </w:pPr>
          </w:p>
          <w:p w:rsidR="00B26EA3" w:rsidRPr="00BF0409" w:rsidRDefault="00B26EA3" w:rsidP="0014706A">
            <w:pPr>
              <w:tabs>
                <w:tab w:val="left" w:pos="720"/>
                <w:tab w:val="left" w:pos="1440"/>
                <w:tab w:val="left" w:pos="2160"/>
                <w:tab w:val="left" w:pos="2880"/>
                <w:tab w:val="left" w:pos="3612"/>
                <w:tab w:val="center" w:pos="6237"/>
              </w:tabs>
              <w:overflowPunct w:val="0"/>
              <w:spacing w:line="240" w:lineRule="exact"/>
              <w:ind w:left="1440" w:hanging="1440"/>
              <w:rPr>
                <w:rFonts w:ascii="Times New Roman" w:hAnsi="Times New Roman" w:cs="Times New Roman"/>
                <w:sz w:val="28"/>
                <w:szCs w:val="28"/>
              </w:rPr>
            </w:pPr>
            <w:r w:rsidRPr="00BF0409">
              <w:rPr>
                <w:rFonts w:ascii="Times New Roman" w:hAnsi="Times New Roman" w:cs="Times New Roman"/>
                <w:sz w:val="28"/>
                <w:szCs w:val="28"/>
              </w:rPr>
              <w:tab/>
              <w:t>b)</w:t>
            </w:r>
            <w:r w:rsidRPr="00BF0409">
              <w:rPr>
                <w:rFonts w:ascii="Times New Roman" w:hAnsi="Times New Roman" w:cs="Times New Roman"/>
                <w:sz w:val="28"/>
                <w:szCs w:val="28"/>
              </w:rPr>
              <w:tab/>
              <w:t>the maintenance of a fixed place of business solely for the purpose of carrying on, for the enterprise, any activity not described in subparagraph a);</w:t>
            </w:r>
          </w:p>
          <w:p w:rsidR="00B26EA3" w:rsidRPr="00BF0409" w:rsidRDefault="00B26EA3" w:rsidP="0014706A">
            <w:pPr>
              <w:tabs>
                <w:tab w:val="left" w:pos="440"/>
                <w:tab w:val="left" w:pos="880"/>
                <w:tab w:val="left" w:pos="1320"/>
              </w:tabs>
              <w:autoSpaceDE w:val="0"/>
              <w:autoSpaceDN w:val="0"/>
              <w:adjustRightInd w:val="0"/>
              <w:contextualSpacing/>
              <w:rPr>
                <w:rFonts w:ascii="Times New Roman" w:hAnsi="Times New Roman" w:cs="Times New Roman"/>
                <w:sz w:val="28"/>
                <w:szCs w:val="28"/>
              </w:rPr>
            </w:pPr>
          </w:p>
          <w:p w:rsidR="00B26EA3" w:rsidRPr="00BF0409" w:rsidRDefault="00B26EA3" w:rsidP="00B26EA3">
            <w:pPr>
              <w:pBdr>
                <w:bottom w:val="single" w:sz="4" w:space="1" w:color="auto"/>
              </w:pBdr>
              <w:tabs>
                <w:tab w:val="left" w:pos="720"/>
                <w:tab w:val="left" w:pos="1440"/>
                <w:tab w:val="left" w:pos="2160"/>
                <w:tab w:val="left" w:pos="2880"/>
                <w:tab w:val="left" w:pos="3612"/>
                <w:tab w:val="center" w:pos="6237"/>
              </w:tabs>
              <w:overflowPunct w:val="0"/>
              <w:spacing w:line="240" w:lineRule="exact"/>
              <w:ind w:left="1440" w:hanging="1440"/>
              <w:rPr>
                <w:rFonts w:ascii="Times New Roman" w:hAnsi="Times New Roman" w:cs="Times New Roman"/>
                <w:sz w:val="28"/>
                <w:szCs w:val="28"/>
              </w:rPr>
            </w:pPr>
            <w:r w:rsidRPr="00BF0409">
              <w:rPr>
                <w:rFonts w:ascii="Times New Roman" w:hAnsi="Times New Roman" w:cs="Times New Roman"/>
                <w:sz w:val="28"/>
                <w:szCs w:val="28"/>
              </w:rPr>
              <w:tab/>
              <w:t>c)</w:t>
            </w:r>
            <w:r w:rsidRPr="00BF0409">
              <w:rPr>
                <w:rFonts w:ascii="Times New Roman" w:hAnsi="Times New Roman" w:cs="Times New Roman"/>
                <w:sz w:val="28"/>
                <w:szCs w:val="28"/>
              </w:rPr>
              <w:tab/>
              <w:t>the maintenance of a fixed place of business solely for any combination of activities mentioned in subparagraphs a) and b),</w:t>
            </w:r>
          </w:p>
          <w:p w:rsidR="00B26EA3" w:rsidRPr="00BF0409" w:rsidRDefault="00B26EA3" w:rsidP="00B26EA3">
            <w:pPr>
              <w:pBdr>
                <w:bottom w:val="single" w:sz="4" w:space="1" w:color="auto"/>
              </w:pBdr>
              <w:tabs>
                <w:tab w:val="left" w:pos="440"/>
                <w:tab w:val="left" w:pos="880"/>
                <w:tab w:val="left" w:pos="1320"/>
              </w:tabs>
              <w:autoSpaceDE w:val="0"/>
              <w:autoSpaceDN w:val="0"/>
              <w:adjustRightInd w:val="0"/>
              <w:contextualSpacing/>
              <w:rPr>
                <w:rFonts w:ascii="Times New Roman" w:hAnsi="Times New Roman" w:cs="Times New Roman"/>
                <w:sz w:val="28"/>
                <w:szCs w:val="28"/>
              </w:rPr>
            </w:pPr>
          </w:p>
          <w:p w:rsidR="00B26EA3" w:rsidRPr="00BF0409" w:rsidRDefault="00B26EA3" w:rsidP="00B26EA3">
            <w:pPr>
              <w:pBdr>
                <w:bottom w:val="single" w:sz="4" w:space="1" w:color="auto"/>
              </w:pBdr>
              <w:tabs>
                <w:tab w:val="left" w:pos="720"/>
                <w:tab w:val="left" w:pos="1440"/>
                <w:tab w:val="left" w:pos="2160"/>
                <w:tab w:val="left" w:pos="2880"/>
                <w:tab w:val="left" w:pos="3612"/>
                <w:tab w:val="center" w:pos="6237"/>
              </w:tabs>
              <w:overflowPunct w:val="0"/>
              <w:spacing w:line="240" w:lineRule="exact"/>
              <w:rPr>
                <w:rFonts w:ascii="Times New Roman" w:hAnsi="Times New Roman" w:cs="Times New Roman"/>
                <w:i/>
                <w:sz w:val="24"/>
                <w:szCs w:val="28"/>
              </w:rPr>
            </w:pPr>
            <w:r w:rsidRPr="00BF0409">
              <w:rPr>
                <w:rFonts w:ascii="Times New Roman" w:hAnsi="Times New Roman" w:cs="Times New Roman"/>
                <w:sz w:val="28"/>
                <w:szCs w:val="28"/>
              </w:rPr>
              <w:t xml:space="preserve">provided that such activity or, in the case of subparagraph c), the overall activity </w:t>
            </w:r>
            <w:r w:rsidRPr="00BF0409">
              <w:rPr>
                <w:rFonts w:ascii="Times New Roman" w:hAnsi="Times New Roman" w:cs="Times New Roman"/>
                <w:sz w:val="28"/>
                <w:szCs w:val="28"/>
              </w:rPr>
              <w:lastRenderedPageBreak/>
              <w:t>of the fixed place of business, is of a preparatory or auxiliary character.</w:t>
            </w:r>
            <w:r w:rsidRPr="00BF0409">
              <w:rPr>
                <w:rFonts w:ascii="Times New Roman" w:hAnsi="Times New Roman" w:cs="Times New Roman"/>
                <w:i/>
                <w:sz w:val="24"/>
                <w:szCs w:val="28"/>
              </w:rPr>
              <w:t xml:space="preserve"> </w:t>
            </w:r>
          </w:p>
        </w:tc>
      </w:tr>
    </w:tbl>
    <w:p w:rsidR="00B26EA3" w:rsidRPr="00B26EA3" w:rsidRDefault="00B26EA3">
      <w:pPr>
        <w:spacing w:after="0"/>
        <w:jc w:val="both"/>
        <w:rPr>
          <w:rFonts w:ascii="Times New Roman" w:hAnsi="Times New Roman" w:cs="Times New Roman"/>
          <w:strike/>
          <w:sz w:val="28"/>
          <w:szCs w:val="28"/>
          <w:lang w:val="en-US"/>
        </w:rPr>
      </w:pPr>
    </w:p>
    <w:tbl>
      <w:tblPr>
        <w:tblStyle w:val="TableGrid26"/>
        <w:tblW w:w="0" w:type="auto"/>
        <w:tblLook w:val="04A0" w:firstRow="1" w:lastRow="0" w:firstColumn="1" w:lastColumn="0" w:noHBand="0" w:noVBand="1"/>
      </w:tblPr>
      <w:tblGrid>
        <w:gridCol w:w="9289"/>
      </w:tblGrid>
      <w:tr w:rsidR="00B26EA3" w:rsidRPr="00D57D21" w:rsidTr="00B26EA3">
        <w:tc>
          <w:tcPr>
            <w:tcW w:w="9289" w:type="dxa"/>
            <w:tcBorders>
              <w:top w:val="single" w:sz="4" w:space="0" w:color="auto"/>
              <w:bottom w:val="nil"/>
            </w:tcBorders>
          </w:tcPr>
          <w:p w:rsidR="00B26EA3" w:rsidRPr="00C977CF" w:rsidRDefault="00B26EA3" w:rsidP="0014706A">
            <w:pPr>
              <w:contextualSpacing/>
              <w:jc w:val="both"/>
              <w:rPr>
                <w:rFonts w:eastAsia="MS Mincho"/>
                <w:i/>
                <w:iCs/>
                <w:sz w:val="24"/>
                <w:szCs w:val="24"/>
                <w:lang w:eastAsia="en-GB"/>
              </w:rPr>
            </w:pPr>
          </w:p>
        </w:tc>
      </w:tr>
      <w:tr w:rsidR="00B26EA3" w:rsidRPr="00D57D21" w:rsidTr="00B26EA3">
        <w:tc>
          <w:tcPr>
            <w:tcW w:w="9289" w:type="dxa"/>
            <w:tcBorders>
              <w:top w:val="nil"/>
              <w:bottom w:val="single" w:sz="4" w:space="0" w:color="auto"/>
            </w:tcBorders>
          </w:tcPr>
          <w:p w:rsidR="00B26EA3" w:rsidRPr="00BF0409" w:rsidRDefault="00B26EA3" w:rsidP="0014706A">
            <w:pPr>
              <w:contextualSpacing/>
              <w:rPr>
                <w:rFonts w:ascii="Times New Roman" w:hAnsi="Times New Roman" w:cs="Times New Roman"/>
                <w:i/>
                <w:sz w:val="28"/>
                <w:szCs w:val="28"/>
              </w:rPr>
            </w:pPr>
            <w:r w:rsidRPr="00BF0409">
              <w:rPr>
                <w:rFonts w:ascii="Times New Roman" w:hAnsi="Times New Roman" w:cs="Times New Roman"/>
                <w:i/>
                <w:iCs/>
                <w:sz w:val="28"/>
                <w:szCs w:val="28"/>
                <w:lang w:eastAsia="en-GB"/>
              </w:rPr>
              <w:t xml:space="preserve">The following paragraph 4 of Article 13 of the MLI applies to </w:t>
            </w:r>
            <w:r>
              <w:rPr>
                <w:rFonts w:ascii="Times New Roman" w:hAnsi="Times New Roman" w:cs="Times New Roman"/>
                <w:i/>
                <w:sz w:val="28"/>
                <w:szCs w:val="28"/>
              </w:rPr>
              <w:t>p</w:t>
            </w:r>
            <w:r w:rsidRPr="00BF0409">
              <w:rPr>
                <w:rFonts w:ascii="Times New Roman" w:hAnsi="Times New Roman" w:cs="Times New Roman"/>
                <w:i/>
                <w:sz w:val="28"/>
                <w:szCs w:val="28"/>
              </w:rPr>
              <w:t>aragraph 4 of Article 5 of this Convention as modified by paragraph 2 of Article 13 of the MLI:</w:t>
            </w:r>
          </w:p>
          <w:p w:rsidR="00B26EA3" w:rsidRPr="00BF0409" w:rsidRDefault="00B26EA3" w:rsidP="0014706A">
            <w:pPr>
              <w:keepNext/>
              <w:keepLines/>
              <w:tabs>
                <w:tab w:val="left" w:pos="850"/>
                <w:tab w:val="left" w:pos="1191"/>
                <w:tab w:val="left" w:pos="1531"/>
              </w:tabs>
              <w:ind w:right="680"/>
              <w:contextualSpacing/>
              <w:outlineLvl w:val="2"/>
              <w:rPr>
                <w:rFonts w:ascii="Times New Roman" w:hAnsi="Times New Roman" w:cs="Times New Roman"/>
                <w:b/>
                <w:bCs/>
                <w:i/>
                <w:iCs/>
                <w:sz w:val="28"/>
                <w:szCs w:val="28"/>
                <w:lang w:eastAsia="en-GB"/>
              </w:rPr>
            </w:pPr>
          </w:p>
          <w:p w:rsidR="00B26EA3" w:rsidRPr="00BF0409" w:rsidRDefault="00B26EA3" w:rsidP="0014706A">
            <w:pPr>
              <w:keepNext/>
              <w:keepLines/>
              <w:tabs>
                <w:tab w:val="left" w:pos="850"/>
                <w:tab w:val="left" w:pos="1191"/>
                <w:tab w:val="left" w:pos="1531"/>
              </w:tabs>
              <w:ind w:right="680"/>
              <w:contextualSpacing/>
              <w:jc w:val="center"/>
              <w:outlineLvl w:val="2"/>
              <w:rPr>
                <w:rFonts w:ascii="Times New Roman" w:hAnsi="Times New Roman" w:cs="Times New Roman"/>
                <w:bCs/>
                <w:iCs/>
                <w:sz w:val="28"/>
                <w:szCs w:val="28"/>
                <w:lang w:eastAsia="en-GB"/>
              </w:rPr>
            </w:pPr>
            <w:r w:rsidRPr="00BF0409">
              <w:rPr>
                <w:rFonts w:ascii="Times New Roman" w:hAnsi="Times New Roman" w:cs="Times New Roman"/>
                <w:bCs/>
                <w:iCs/>
                <w:sz w:val="28"/>
                <w:szCs w:val="28"/>
                <w:lang w:eastAsia="en-GB"/>
              </w:rPr>
              <w:t>ARTICLE 13 – ARTIFICIAL AVOIDANCE OF PERMANENT ESTABLISHMENT STATUS THROUGH THE SPECIFIC ACTIVITY EXEMPTIONS</w:t>
            </w:r>
          </w:p>
          <w:p w:rsidR="00B26EA3" w:rsidRPr="00BF0409" w:rsidRDefault="00B26EA3" w:rsidP="0014706A">
            <w:pPr>
              <w:tabs>
                <w:tab w:val="left" w:pos="454"/>
                <w:tab w:val="left" w:pos="879"/>
                <w:tab w:val="left" w:pos="1320"/>
              </w:tabs>
              <w:autoSpaceDE w:val="0"/>
              <w:autoSpaceDN w:val="0"/>
              <w:adjustRightInd w:val="0"/>
              <w:contextualSpacing/>
              <w:jc w:val="center"/>
              <w:rPr>
                <w:rFonts w:ascii="Times New Roman" w:hAnsi="Times New Roman" w:cs="Times New Roman"/>
                <w:iCs/>
                <w:sz w:val="28"/>
                <w:szCs w:val="28"/>
                <w:lang w:eastAsia="en-GB"/>
              </w:rPr>
            </w:pPr>
          </w:p>
          <w:p w:rsidR="00B26EA3" w:rsidRPr="00BF0409" w:rsidRDefault="00B26EA3" w:rsidP="0014706A">
            <w:pPr>
              <w:tabs>
                <w:tab w:val="left" w:pos="720"/>
                <w:tab w:val="left" w:pos="1440"/>
                <w:tab w:val="left" w:pos="2160"/>
                <w:tab w:val="left" w:pos="2880"/>
                <w:tab w:val="left" w:pos="3612"/>
                <w:tab w:val="center" w:pos="6237"/>
              </w:tabs>
              <w:overflowPunct w:val="0"/>
              <w:spacing w:line="240" w:lineRule="exact"/>
              <w:rPr>
                <w:rFonts w:ascii="Times New Roman" w:hAnsi="Times New Roman" w:cs="Times New Roman"/>
                <w:sz w:val="28"/>
                <w:szCs w:val="28"/>
                <w:lang w:eastAsia="ja-JP"/>
              </w:rPr>
            </w:pPr>
            <w:r w:rsidRPr="00BF0409">
              <w:rPr>
                <w:rFonts w:ascii="Times New Roman" w:eastAsia="MS Mincho" w:hAnsi="Times New Roman" w:cs="Times New Roman"/>
                <w:sz w:val="28"/>
                <w:szCs w:val="28"/>
                <w:lang w:eastAsia="ja-JP"/>
              </w:rPr>
              <w:t>4.</w:t>
            </w:r>
            <w:r w:rsidRPr="00BF0409">
              <w:rPr>
                <w:rFonts w:ascii="Times New Roman" w:eastAsia="MS Mincho" w:hAnsi="Times New Roman" w:cs="Times New Roman"/>
                <w:sz w:val="28"/>
                <w:szCs w:val="28"/>
                <w:lang w:eastAsia="ja-JP"/>
              </w:rPr>
              <w:tab/>
            </w:r>
            <w:r w:rsidRPr="00BF0409">
              <w:rPr>
                <w:rFonts w:ascii="Times New Roman" w:hAnsi="Times New Roman" w:cs="Times New Roman"/>
                <w:sz w:val="28"/>
                <w:szCs w:val="28"/>
                <w:lang w:eastAsia="ja-JP"/>
              </w:rPr>
              <w:t>Paragraph 4 of Article 5 of the Convention, as modified by paragraph 2 of Article 13 of the MLI shall not apply to a fixed place of business that is used or maintained by an enterprise if the same enterprise or a closely related enterprise carries on business activities at the same place or at another place in the same Contracting State and:</w:t>
            </w:r>
          </w:p>
          <w:p w:rsidR="00B26EA3" w:rsidRPr="00BF0409" w:rsidRDefault="00B26EA3" w:rsidP="0014706A">
            <w:pPr>
              <w:tabs>
                <w:tab w:val="left" w:pos="720"/>
                <w:tab w:val="left" w:pos="1440"/>
                <w:tab w:val="left" w:pos="2160"/>
                <w:tab w:val="left" w:pos="2880"/>
                <w:tab w:val="left" w:pos="3612"/>
                <w:tab w:val="center" w:pos="6237"/>
              </w:tabs>
              <w:overflowPunct w:val="0"/>
              <w:spacing w:line="240" w:lineRule="exact"/>
              <w:rPr>
                <w:rFonts w:ascii="Times New Roman" w:hAnsi="Times New Roman" w:cs="Times New Roman"/>
                <w:sz w:val="28"/>
                <w:szCs w:val="28"/>
                <w:lang w:eastAsia="ja-JP"/>
              </w:rPr>
            </w:pPr>
          </w:p>
          <w:p w:rsidR="00B26EA3" w:rsidRPr="00BF0409" w:rsidRDefault="00B26EA3" w:rsidP="0014706A">
            <w:pPr>
              <w:tabs>
                <w:tab w:val="left" w:pos="720"/>
                <w:tab w:val="left" w:pos="1440"/>
                <w:tab w:val="left" w:pos="2160"/>
                <w:tab w:val="left" w:pos="2880"/>
                <w:tab w:val="left" w:pos="3612"/>
                <w:tab w:val="center" w:pos="6237"/>
              </w:tabs>
              <w:overflowPunct w:val="0"/>
              <w:spacing w:line="240" w:lineRule="exact"/>
              <w:ind w:left="1440" w:hanging="1440"/>
              <w:rPr>
                <w:rFonts w:ascii="Times New Roman" w:hAnsi="Times New Roman" w:cs="Times New Roman"/>
                <w:sz w:val="28"/>
                <w:szCs w:val="28"/>
                <w:lang w:eastAsia="ja-JP"/>
              </w:rPr>
            </w:pPr>
            <w:r w:rsidRPr="00BF0409">
              <w:rPr>
                <w:rFonts w:ascii="Times New Roman" w:eastAsia="MS Mincho" w:hAnsi="Times New Roman" w:cs="Times New Roman"/>
                <w:sz w:val="28"/>
                <w:szCs w:val="28"/>
                <w:lang w:eastAsia="ja-JP"/>
              </w:rPr>
              <w:tab/>
            </w:r>
            <w:r w:rsidRPr="00BF0409">
              <w:rPr>
                <w:rFonts w:ascii="Times New Roman" w:hAnsi="Times New Roman" w:cs="Times New Roman"/>
                <w:sz w:val="28"/>
                <w:szCs w:val="28"/>
                <w:lang w:eastAsia="ja-JP"/>
              </w:rPr>
              <w:t>a)</w:t>
            </w:r>
            <w:r w:rsidRPr="00BF0409">
              <w:rPr>
                <w:rFonts w:ascii="Times New Roman" w:hAnsi="Times New Roman" w:cs="Times New Roman"/>
                <w:sz w:val="28"/>
                <w:szCs w:val="28"/>
                <w:lang w:eastAsia="ja-JP"/>
              </w:rPr>
              <w:tab/>
              <w:t>that place or other place constitutes a permanent establishment for the enterprise or the closely related enterprise under the provisions of Article 5 of the Convention; or</w:t>
            </w:r>
          </w:p>
          <w:p w:rsidR="00B26EA3" w:rsidRPr="00BF0409" w:rsidRDefault="00B26EA3" w:rsidP="0014706A">
            <w:pPr>
              <w:tabs>
                <w:tab w:val="left" w:pos="720"/>
                <w:tab w:val="left" w:pos="1440"/>
                <w:tab w:val="left" w:pos="2160"/>
                <w:tab w:val="left" w:pos="2880"/>
                <w:tab w:val="left" w:pos="3612"/>
                <w:tab w:val="center" w:pos="6237"/>
              </w:tabs>
              <w:overflowPunct w:val="0"/>
              <w:spacing w:line="240" w:lineRule="exact"/>
              <w:ind w:left="1440" w:hanging="1440"/>
              <w:rPr>
                <w:rFonts w:ascii="Times New Roman" w:hAnsi="Times New Roman" w:cs="Times New Roman"/>
                <w:sz w:val="28"/>
                <w:szCs w:val="28"/>
                <w:lang w:eastAsia="ja-JP"/>
              </w:rPr>
            </w:pPr>
          </w:p>
          <w:p w:rsidR="00B26EA3" w:rsidRPr="00BF0409" w:rsidRDefault="00B26EA3" w:rsidP="0014706A">
            <w:pPr>
              <w:tabs>
                <w:tab w:val="left" w:pos="720"/>
                <w:tab w:val="left" w:pos="1440"/>
                <w:tab w:val="left" w:pos="2160"/>
                <w:tab w:val="left" w:pos="2880"/>
                <w:tab w:val="left" w:pos="3612"/>
                <w:tab w:val="center" w:pos="6237"/>
              </w:tabs>
              <w:overflowPunct w:val="0"/>
              <w:spacing w:line="240" w:lineRule="exact"/>
              <w:ind w:left="1440" w:hanging="1440"/>
              <w:rPr>
                <w:rFonts w:ascii="Times New Roman" w:hAnsi="Times New Roman" w:cs="Times New Roman"/>
                <w:sz w:val="28"/>
                <w:szCs w:val="28"/>
                <w:lang w:eastAsia="ja-JP"/>
              </w:rPr>
            </w:pPr>
            <w:r w:rsidRPr="00BF0409">
              <w:rPr>
                <w:rFonts w:ascii="Times New Roman" w:eastAsia="MS Mincho" w:hAnsi="Times New Roman" w:cs="Times New Roman"/>
                <w:sz w:val="28"/>
                <w:szCs w:val="28"/>
                <w:lang w:eastAsia="ja-JP"/>
              </w:rPr>
              <w:tab/>
            </w:r>
            <w:r w:rsidRPr="00BF0409">
              <w:rPr>
                <w:rFonts w:ascii="Times New Roman" w:hAnsi="Times New Roman" w:cs="Times New Roman"/>
                <w:sz w:val="28"/>
                <w:szCs w:val="28"/>
                <w:lang w:eastAsia="ja-JP"/>
              </w:rPr>
              <w:t>b)</w:t>
            </w:r>
            <w:r w:rsidRPr="00BF0409">
              <w:rPr>
                <w:rFonts w:ascii="Times New Roman" w:hAnsi="Times New Roman" w:cs="Times New Roman"/>
                <w:sz w:val="28"/>
                <w:szCs w:val="28"/>
                <w:lang w:eastAsia="ja-JP"/>
              </w:rPr>
              <w:tab/>
              <w:t>the overall activity resulting from the combination of the activities carried on by the two enterprises at the same place, or by the same enterprise or closely related enterprises at the two places, is not of a preparatory or auxiliary character,</w:t>
            </w:r>
          </w:p>
          <w:p w:rsidR="00B26EA3" w:rsidRPr="00BF0409" w:rsidRDefault="00B26EA3" w:rsidP="0014706A">
            <w:pPr>
              <w:tabs>
                <w:tab w:val="left" w:pos="720"/>
                <w:tab w:val="left" w:pos="1440"/>
                <w:tab w:val="left" w:pos="2160"/>
                <w:tab w:val="left" w:pos="2880"/>
                <w:tab w:val="left" w:pos="3612"/>
                <w:tab w:val="center" w:pos="6237"/>
              </w:tabs>
              <w:overflowPunct w:val="0"/>
              <w:spacing w:line="240" w:lineRule="exact"/>
              <w:rPr>
                <w:rFonts w:ascii="Times New Roman" w:hAnsi="Times New Roman" w:cs="Times New Roman"/>
                <w:sz w:val="28"/>
                <w:szCs w:val="28"/>
                <w:lang w:eastAsia="ja-JP"/>
              </w:rPr>
            </w:pPr>
          </w:p>
          <w:p w:rsidR="00B26EA3" w:rsidRPr="00BF0409" w:rsidRDefault="00B26EA3" w:rsidP="0014706A">
            <w:pPr>
              <w:tabs>
                <w:tab w:val="left" w:pos="720"/>
                <w:tab w:val="left" w:pos="1440"/>
                <w:tab w:val="left" w:pos="2160"/>
                <w:tab w:val="left" w:pos="2880"/>
                <w:tab w:val="left" w:pos="3612"/>
                <w:tab w:val="center" w:pos="6237"/>
              </w:tabs>
              <w:overflowPunct w:val="0"/>
              <w:spacing w:line="240" w:lineRule="exact"/>
              <w:rPr>
                <w:rFonts w:ascii="Times New Roman" w:hAnsi="Times New Roman" w:cs="Times New Roman"/>
                <w:b/>
                <w:sz w:val="28"/>
                <w:szCs w:val="28"/>
                <w:lang w:eastAsia="ja-JP"/>
              </w:rPr>
            </w:pPr>
            <w:r w:rsidRPr="00BF0409">
              <w:rPr>
                <w:rFonts w:ascii="Times New Roman" w:hAnsi="Times New Roman" w:cs="Times New Roman"/>
                <w:sz w:val="28"/>
                <w:szCs w:val="28"/>
                <w:lang w:eastAsia="ja-JP"/>
              </w:rPr>
              <w:t>provided that the business activities carried on by the two enterprises at the same place, or by the same enterprise or closely related enterprises at the two places, constitute complementary functions that are part of a cohesive business operation.</w:t>
            </w:r>
          </w:p>
        </w:tc>
      </w:tr>
    </w:tbl>
    <w:p w:rsidR="00B26EA3" w:rsidRDefault="00B26EA3">
      <w:pPr>
        <w:spacing w:after="0"/>
        <w:jc w:val="both"/>
        <w:rPr>
          <w:rFonts w:ascii="Times New Roman" w:hAnsi="Times New Roman" w:cs="Times New Roman"/>
          <w:color w:val="000000"/>
          <w:sz w:val="28"/>
          <w:szCs w:val="28"/>
          <w:lang w:val="en-US"/>
        </w:rPr>
      </w:pPr>
    </w:p>
    <w:p w:rsidR="008612E1" w:rsidRPr="00630D27" w:rsidRDefault="00576710">
      <w:pPr>
        <w:spacing w:after="0"/>
        <w:jc w:val="both"/>
        <w:rPr>
          <w:rFonts w:ascii="Times New Roman" w:hAnsi="Times New Roman" w:cs="Times New Roman"/>
          <w:color w:val="000000"/>
          <w:sz w:val="28"/>
          <w:szCs w:val="28"/>
          <w:lang w:val="en-US"/>
        </w:rPr>
      </w:pPr>
      <w:r w:rsidRPr="00EF0575">
        <w:rPr>
          <w:rFonts w:ascii="Times New Roman" w:hAnsi="Times New Roman" w:cs="Times New Roman"/>
          <w:color w:val="000000"/>
          <w:sz w:val="28"/>
          <w:szCs w:val="28"/>
          <w:lang w:val="en-US"/>
        </w:rPr>
        <w:t xml:space="preserve">5. </w:t>
      </w:r>
      <w:r w:rsidR="00630D27" w:rsidRPr="00E41F10">
        <w:rPr>
          <w:rFonts w:ascii="Times New Roman" w:hAnsi="Times New Roman" w:cs="Times New Roman"/>
          <w:b/>
          <w:sz w:val="28"/>
          <w:szCs w:val="28"/>
          <w:lang w:val="en-US"/>
        </w:rPr>
        <w:t>[MODIFIED by paragraph 1 of Article 12 of the MLI]</w:t>
      </w:r>
      <w:r w:rsidR="00630D27" w:rsidRPr="00C333DD">
        <w:rPr>
          <w:rFonts w:ascii="Times New Roman" w:eastAsia="Times New Roman" w:hAnsi="Times New Roman" w:cs="Times New Roman"/>
          <w:color w:val="000000"/>
          <w:sz w:val="28"/>
          <w:szCs w:val="28"/>
          <w:lang w:val="en-US" w:eastAsia="ru-RU"/>
        </w:rPr>
        <w:t xml:space="preserve"> </w:t>
      </w:r>
      <w:r w:rsidRPr="00630D27">
        <w:rPr>
          <w:rFonts w:ascii="Times New Roman" w:hAnsi="Times New Roman" w:cs="Times New Roman"/>
          <w:color w:val="000000"/>
          <w:sz w:val="28"/>
          <w:szCs w:val="28"/>
          <w:lang w:val="en-US"/>
        </w:rPr>
        <w:t>Notwithstanding the provisions of paragraphs 1 and 2, where a person - other than an agent of an independent status to whom paragraph 6 applies - is acting on behalf of an enterprise and has, and habitually exercises, in a Contracting State an authority to conclude contracts in the name of the enterprise, that enterprise shall be deemed to have a permanent establishment in that State in respect of any activities which that person undertakes for the enterprise, unless the activities of such person are limited to those mentioned in paragraph 4 which, if exercised through a fixed place of business, would not make this fixed place of business a permanent establishment under the provisions of that paragraph.</w:t>
      </w:r>
    </w:p>
    <w:p w:rsidR="00B26EA3" w:rsidRDefault="00B26EA3">
      <w:pPr>
        <w:spacing w:after="0"/>
        <w:jc w:val="both"/>
        <w:rPr>
          <w:rFonts w:ascii="Times New Roman" w:hAnsi="Times New Roman" w:cs="Times New Roman"/>
          <w:strike/>
          <w:color w:val="000000"/>
          <w:sz w:val="28"/>
          <w:szCs w:val="28"/>
          <w:lang w:val="en-US"/>
        </w:rPr>
      </w:pPr>
    </w:p>
    <w:tbl>
      <w:tblPr>
        <w:tblStyle w:val="TableGrid261"/>
        <w:tblW w:w="0" w:type="auto"/>
        <w:tblInd w:w="69" w:type="dxa"/>
        <w:tblLook w:val="04A0" w:firstRow="1" w:lastRow="0" w:firstColumn="1" w:lastColumn="0" w:noHBand="0" w:noVBand="1"/>
      </w:tblPr>
      <w:tblGrid>
        <w:gridCol w:w="9276"/>
      </w:tblGrid>
      <w:tr w:rsidR="00B26EA3" w:rsidRPr="00D57D21" w:rsidTr="00630D27">
        <w:tc>
          <w:tcPr>
            <w:tcW w:w="9276" w:type="dxa"/>
            <w:tcBorders>
              <w:top w:val="single" w:sz="4" w:space="0" w:color="auto"/>
              <w:bottom w:val="single" w:sz="4" w:space="0" w:color="auto"/>
            </w:tcBorders>
          </w:tcPr>
          <w:p w:rsidR="00B26EA3" w:rsidRPr="00BF0409" w:rsidRDefault="00B26EA3" w:rsidP="0014706A">
            <w:pPr>
              <w:spacing w:line="20" w:lineRule="exact"/>
              <w:contextualSpacing/>
              <w:jc w:val="both"/>
              <w:rPr>
                <w:rFonts w:ascii="Times New Roman" w:hAnsi="Times New Roman" w:cs="Times New Roman"/>
                <w:i/>
                <w:iCs/>
                <w:sz w:val="24"/>
                <w:szCs w:val="24"/>
                <w:lang w:eastAsia="en-GB"/>
              </w:rPr>
            </w:pPr>
          </w:p>
        </w:tc>
      </w:tr>
      <w:tr w:rsidR="00B26EA3" w:rsidRPr="00D57D21" w:rsidTr="00630D27">
        <w:tc>
          <w:tcPr>
            <w:tcW w:w="9276" w:type="dxa"/>
            <w:tcBorders>
              <w:top w:val="single" w:sz="4" w:space="0" w:color="auto"/>
              <w:bottom w:val="single" w:sz="4" w:space="0" w:color="auto"/>
            </w:tcBorders>
          </w:tcPr>
          <w:p w:rsidR="00B26EA3" w:rsidRPr="004349D7" w:rsidRDefault="00B26EA3" w:rsidP="0014706A">
            <w:pPr>
              <w:contextualSpacing/>
              <w:rPr>
                <w:rFonts w:ascii="Times New Roman" w:hAnsi="Times New Roman" w:cs="Times New Roman"/>
                <w:bCs/>
                <w:i/>
                <w:sz w:val="28"/>
                <w:szCs w:val="28"/>
              </w:rPr>
            </w:pPr>
            <w:r w:rsidRPr="004349D7">
              <w:rPr>
                <w:rFonts w:ascii="Times New Roman" w:hAnsi="Times New Roman" w:cs="Times New Roman"/>
                <w:i/>
                <w:sz w:val="28"/>
                <w:szCs w:val="28"/>
                <w:lang w:eastAsia="en-GB"/>
              </w:rPr>
              <w:t xml:space="preserve">The following paragraph 1 of Article 12 of the MLI </w:t>
            </w:r>
            <w:r w:rsidR="00630D27">
              <w:rPr>
                <w:i/>
                <w:sz w:val="28"/>
                <w:szCs w:val="28"/>
                <w:lang w:val="en-US" w:eastAsia="en-GB"/>
              </w:rPr>
              <w:t>applies to</w:t>
            </w:r>
            <w:r w:rsidRPr="004349D7">
              <w:rPr>
                <w:rFonts w:ascii="Times New Roman" w:hAnsi="Times New Roman" w:cs="Times New Roman"/>
                <w:i/>
                <w:sz w:val="28"/>
                <w:szCs w:val="28"/>
                <w:lang w:eastAsia="en-GB"/>
              </w:rPr>
              <w:t xml:space="preserve"> </w:t>
            </w:r>
            <w:r w:rsidRPr="004349D7">
              <w:rPr>
                <w:rFonts w:ascii="Times New Roman" w:hAnsi="Times New Roman" w:cs="Times New Roman"/>
                <w:i/>
                <w:sz w:val="28"/>
                <w:szCs w:val="28"/>
              </w:rPr>
              <w:t>paragraph 5 of Article 5 of this Convention:</w:t>
            </w:r>
          </w:p>
          <w:p w:rsidR="00B26EA3" w:rsidRPr="00BF0409" w:rsidRDefault="00B26EA3" w:rsidP="0014706A">
            <w:pPr>
              <w:contextualSpacing/>
              <w:rPr>
                <w:rFonts w:ascii="Times New Roman" w:hAnsi="Times New Roman" w:cs="Times New Roman"/>
                <w:bCs/>
                <w:sz w:val="28"/>
                <w:szCs w:val="28"/>
              </w:rPr>
            </w:pPr>
          </w:p>
          <w:p w:rsidR="00B26EA3" w:rsidRPr="00BF0409" w:rsidRDefault="00B26EA3" w:rsidP="0014706A">
            <w:pPr>
              <w:keepNext/>
              <w:keepLines/>
              <w:tabs>
                <w:tab w:val="left" w:pos="850"/>
                <w:tab w:val="left" w:pos="1191"/>
                <w:tab w:val="left" w:pos="1531"/>
              </w:tabs>
              <w:ind w:right="680"/>
              <w:contextualSpacing/>
              <w:jc w:val="center"/>
              <w:outlineLvl w:val="2"/>
              <w:rPr>
                <w:rFonts w:ascii="Times New Roman" w:hAnsi="Times New Roman" w:cs="Times New Roman"/>
                <w:bCs/>
                <w:sz w:val="28"/>
                <w:szCs w:val="28"/>
                <w:lang w:eastAsia="en-GB"/>
              </w:rPr>
            </w:pPr>
            <w:r w:rsidRPr="00BF0409">
              <w:rPr>
                <w:rFonts w:ascii="Times New Roman" w:hAnsi="Times New Roman" w:cs="Times New Roman"/>
                <w:bCs/>
                <w:sz w:val="28"/>
                <w:szCs w:val="28"/>
                <w:lang w:eastAsia="en-GB"/>
              </w:rPr>
              <w:t>ARTICLE 12 – ARTIFICIAL AVOIDANCE OF PERMANENT ESTABLISHMENT STATUS THROUGH COMMISSIONAIRE ARRANGEMENTS AND SIMILAR STRATEGIES</w:t>
            </w:r>
          </w:p>
          <w:p w:rsidR="00B26EA3" w:rsidRDefault="00B26EA3" w:rsidP="0014706A">
            <w:pPr>
              <w:tabs>
                <w:tab w:val="left" w:pos="720"/>
                <w:tab w:val="left" w:pos="1440"/>
                <w:tab w:val="left" w:pos="2160"/>
                <w:tab w:val="left" w:pos="2880"/>
                <w:tab w:val="left" w:pos="3612"/>
                <w:tab w:val="center" w:pos="6237"/>
              </w:tabs>
              <w:overflowPunct w:val="0"/>
              <w:spacing w:line="240" w:lineRule="exact"/>
              <w:ind w:firstLine="738"/>
              <w:jc w:val="both"/>
              <w:rPr>
                <w:rFonts w:ascii="Times New Roman" w:hAnsi="Times New Roman" w:cs="Times New Roman"/>
                <w:sz w:val="28"/>
                <w:szCs w:val="28"/>
                <w:lang w:eastAsia="ja-JP"/>
              </w:rPr>
            </w:pPr>
          </w:p>
          <w:p w:rsidR="00B26EA3" w:rsidRPr="00BF0409" w:rsidRDefault="00B26EA3" w:rsidP="0014706A">
            <w:pPr>
              <w:tabs>
                <w:tab w:val="left" w:pos="720"/>
                <w:tab w:val="left" w:pos="1440"/>
                <w:tab w:val="left" w:pos="2160"/>
                <w:tab w:val="left" w:pos="2880"/>
                <w:tab w:val="left" w:pos="3612"/>
                <w:tab w:val="center" w:pos="6237"/>
              </w:tabs>
              <w:overflowPunct w:val="0"/>
              <w:spacing w:line="240" w:lineRule="exact"/>
              <w:ind w:firstLine="738"/>
              <w:jc w:val="both"/>
              <w:rPr>
                <w:rFonts w:ascii="Times New Roman" w:hAnsi="Times New Roman" w:cs="Times New Roman"/>
                <w:sz w:val="28"/>
                <w:szCs w:val="28"/>
                <w:lang w:eastAsia="ja-JP"/>
              </w:rPr>
            </w:pPr>
            <w:r w:rsidRPr="00BF0409">
              <w:rPr>
                <w:rFonts w:ascii="Times New Roman" w:hAnsi="Times New Roman" w:cs="Times New Roman"/>
                <w:sz w:val="28"/>
                <w:szCs w:val="28"/>
                <w:lang w:eastAsia="ja-JP"/>
              </w:rPr>
              <w:t xml:space="preserve">Notwithstanding the provisions </w:t>
            </w:r>
            <w:r w:rsidR="00D57D21" w:rsidRPr="002105A2">
              <w:rPr>
                <w:rFonts w:ascii="Times New Roman" w:hAnsi="Times New Roman" w:cs="Times New Roman"/>
                <w:sz w:val="28"/>
                <w:szCs w:val="28"/>
                <w:lang w:val="en-US" w:eastAsia="ja-JP"/>
              </w:rPr>
              <w:t xml:space="preserve">1 </w:t>
            </w:r>
            <w:r w:rsidR="00D57D21">
              <w:rPr>
                <w:rFonts w:ascii="Times New Roman" w:hAnsi="Times New Roman" w:cs="Times New Roman"/>
                <w:sz w:val="28"/>
                <w:szCs w:val="28"/>
                <w:lang w:val="en-US" w:eastAsia="ja-JP"/>
              </w:rPr>
              <w:t xml:space="preserve">and 2 </w:t>
            </w:r>
            <w:r w:rsidRPr="00BF0409">
              <w:rPr>
                <w:rFonts w:ascii="Times New Roman" w:hAnsi="Times New Roman" w:cs="Times New Roman"/>
                <w:sz w:val="28"/>
                <w:szCs w:val="28"/>
                <w:lang w:eastAsia="ja-JP"/>
              </w:rPr>
              <w:t>of Article 5</w:t>
            </w:r>
            <w:r w:rsidRPr="00BF0409">
              <w:rPr>
                <w:rFonts w:ascii="Times New Roman" w:hAnsi="Times New Roman" w:cs="Times New Roman"/>
                <w:sz w:val="28"/>
                <w:szCs w:val="28"/>
              </w:rPr>
              <w:t xml:space="preserve"> of the Convention</w:t>
            </w:r>
            <w:r w:rsidRPr="00BF0409">
              <w:rPr>
                <w:rFonts w:ascii="Times New Roman" w:hAnsi="Times New Roman" w:cs="Times New Roman"/>
                <w:sz w:val="28"/>
                <w:szCs w:val="28"/>
                <w:lang w:eastAsia="ja-JP"/>
              </w:rPr>
              <w:t xml:space="preserve">, </w:t>
            </w:r>
            <w:r w:rsidRPr="00EE3AF3">
              <w:rPr>
                <w:rFonts w:ascii="Times New Roman" w:hAnsi="Times New Roman" w:cs="Times New Roman"/>
                <w:sz w:val="28"/>
                <w:szCs w:val="28"/>
                <w:lang w:eastAsia="ja-JP"/>
              </w:rPr>
              <w:t xml:space="preserve">but subject to </w:t>
            </w:r>
            <w:r w:rsidRPr="00630D27">
              <w:rPr>
                <w:rFonts w:ascii="Times New Roman" w:hAnsi="Times New Roman" w:cs="Times New Roman"/>
                <w:sz w:val="28"/>
                <w:szCs w:val="28"/>
                <w:lang w:eastAsia="ja-JP"/>
              </w:rPr>
              <w:t xml:space="preserve">paragraph </w:t>
            </w:r>
            <w:r w:rsidR="00D57D21">
              <w:rPr>
                <w:rFonts w:ascii="Times New Roman" w:hAnsi="Times New Roman" w:cs="Times New Roman"/>
                <w:sz w:val="28"/>
                <w:szCs w:val="28"/>
                <w:lang w:val="en-US"/>
              </w:rPr>
              <w:t>6</w:t>
            </w:r>
            <w:r w:rsidR="00630D27" w:rsidRPr="00630D27">
              <w:rPr>
                <w:rFonts w:ascii="Times New Roman" w:hAnsi="Times New Roman" w:cs="Times New Roman"/>
                <w:sz w:val="28"/>
                <w:szCs w:val="28"/>
                <w:lang w:val="en-US"/>
              </w:rPr>
              <w:t xml:space="preserve"> of Article 5 of the Convention</w:t>
            </w:r>
            <w:r w:rsidR="00630D27" w:rsidRPr="0031442E">
              <w:rPr>
                <w:rFonts w:ascii="Times New Roman" w:hAnsi="Times New Roman" w:cs="Times New Roman"/>
                <w:sz w:val="28"/>
                <w:szCs w:val="28"/>
                <w:lang w:val="en-US"/>
              </w:rPr>
              <w:t xml:space="preserve"> as modified by paragraph 2 of Article 12 of the MLI</w:t>
            </w:r>
            <w:r w:rsidRPr="00BF0409">
              <w:rPr>
                <w:rFonts w:ascii="Times New Roman" w:hAnsi="Times New Roman" w:cs="Times New Roman"/>
                <w:sz w:val="28"/>
                <w:szCs w:val="28"/>
                <w:lang w:eastAsia="ja-JP"/>
              </w:rPr>
              <w:t>, where a person is acting in a Contracting State on behalf of an enterprise and, in doing so, habitually concludes contracts, or habitually plays the principal role leading to the conclusion of contracts that are routinely concluded without material modification by the enterprise, and these contracts are:</w:t>
            </w:r>
          </w:p>
          <w:p w:rsidR="00B26EA3" w:rsidRPr="00BF0409" w:rsidRDefault="00B26EA3" w:rsidP="0014706A">
            <w:pPr>
              <w:tabs>
                <w:tab w:val="left" w:pos="720"/>
                <w:tab w:val="left" w:pos="1440"/>
                <w:tab w:val="left" w:pos="2160"/>
                <w:tab w:val="left" w:pos="2880"/>
                <w:tab w:val="left" w:pos="3612"/>
                <w:tab w:val="center" w:pos="6237"/>
              </w:tabs>
              <w:overflowPunct w:val="0"/>
              <w:spacing w:line="240" w:lineRule="exact"/>
              <w:rPr>
                <w:rFonts w:ascii="Times New Roman" w:hAnsi="Times New Roman" w:cs="Times New Roman"/>
                <w:sz w:val="28"/>
                <w:szCs w:val="28"/>
                <w:lang w:eastAsia="ja-JP"/>
              </w:rPr>
            </w:pPr>
          </w:p>
          <w:p w:rsidR="00B26EA3" w:rsidRPr="00BF0409" w:rsidRDefault="00B26EA3" w:rsidP="0014706A">
            <w:pPr>
              <w:tabs>
                <w:tab w:val="left" w:pos="720"/>
                <w:tab w:val="left" w:pos="1440"/>
                <w:tab w:val="left" w:pos="2160"/>
                <w:tab w:val="left" w:pos="2880"/>
                <w:tab w:val="left" w:pos="3612"/>
                <w:tab w:val="center" w:pos="6237"/>
              </w:tabs>
              <w:overflowPunct w:val="0"/>
              <w:spacing w:line="240" w:lineRule="exact"/>
              <w:ind w:left="1440" w:hanging="1440"/>
              <w:rPr>
                <w:rFonts w:ascii="Times New Roman" w:eastAsia="MS Mincho" w:hAnsi="Times New Roman" w:cs="Times New Roman"/>
                <w:sz w:val="28"/>
                <w:szCs w:val="28"/>
                <w:lang w:eastAsia="ja-JP"/>
              </w:rPr>
            </w:pPr>
            <w:r w:rsidRPr="00BF0409">
              <w:rPr>
                <w:rFonts w:ascii="Times New Roman" w:eastAsia="MS Mincho" w:hAnsi="Times New Roman" w:cs="Times New Roman"/>
                <w:sz w:val="28"/>
                <w:szCs w:val="28"/>
                <w:lang w:eastAsia="ja-JP"/>
              </w:rPr>
              <w:tab/>
              <w:t>a)</w:t>
            </w:r>
            <w:r w:rsidRPr="00BF0409">
              <w:rPr>
                <w:rFonts w:ascii="Times New Roman" w:eastAsia="MS Mincho" w:hAnsi="Times New Roman" w:cs="Times New Roman"/>
                <w:sz w:val="28"/>
                <w:szCs w:val="28"/>
                <w:lang w:eastAsia="ja-JP"/>
              </w:rPr>
              <w:tab/>
              <w:t>in the name of the enterprise; or</w:t>
            </w:r>
          </w:p>
          <w:p w:rsidR="00B26EA3" w:rsidRPr="00BF0409" w:rsidRDefault="00B26EA3" w:rsidP="0014706A">
            <w:pPr>
              <w:tabs>
                <w:tab w:val="left" w:pos="720"/>
                <w:tab w:val="left" w:pos="1440"/>
                <w:tab w:val="left" w:pos="2160"/>
                <w:tab w:val="left" w:pos="2880"/>
                <w:tab w:val="left" w:pos="3612"/>
                <w:tab w:val="center" w:pos="6237"/>
              </w:tabs>
              <w:overflowPunct w:val="0"/>
              <w:spacing w:line="240" w:lineRule="exact"/>
              <w:ind w:left="1440" w:hanging="1440"/>
              <w:rPr>
                <w:rFonts w:ascii="Times New Roman" w:eastAsia="MS Mincho" w:hAnsi="Times New Roman" w:cs="Times New Roman"/>
                <w:sz w:val="28"/>
                <w:szCs w:val="28"/>
                <w:lang w:eastAsia="ja-JP"/>
              </w:rPr>
            </w:pPr>
          </w:p>
          <w:p w:rsidR="00B26EA3" w:rsidRPr="00BF0409" w:rsidRDefault="00B26EA3" w:rsidP="0014706A">
            <w:pPr>
              <w:tabs>
                <w:tab w:val="left" w:pos="720"/>
                <w:tab w:val="left" w:pos="1440"/>
                <w:tab w:val="left" w:pos="2160"/>
                <w:tab w:val="left" w:pos="2880"/>
                <w:tab w:val="left" w:pos="3612"/>
                <w:tab w:val="center" w:pos="6237"/>
              </w:tabs>
              <w:overflowPunct w:val="0"/>
              <w:spacing w:line="240" w:lineRule="exact"/>
              <w:ind w:left="1440" w:hanging="1440"/>
              <w:rPr>
                <w:rFonts w:ascii="Times New Roman" w:eastAsia="MS Mincho" w:hAnsi="Times New Roman" w:cs="Times New Roman"/>
                <w:sz w:val="28"/>
                <w:szCs w:val="28"/>
                <w:lang w:eastAsia="ja-JP"/>
              </w:rPr>
            </w:pPr>
            <w:r w:rsidRPr="00BF0409">
              <w:rPr>
                <w:rFonts w:ascii="Times New Roman" w:eastAsia="MS Mincho" w:hAnsi="Times New Roman" w:cs="Times New Roman"/>
                <w:sz w:val="28"/>
                <w:szCs w:val="28"/>
                <w:lang w:eastAsia="ja-JP"/>
              </w:rPr>
              <w:tab/>
              <w:t>b)</w:t>
            </w:r>
            <w:r w:rsidRPr="00BF0409">
              <w:rPr>
                <w:rFonts w:ascii="Times New Roman" w:eastAsia="MS Mincho" w:hAnsi="Times New Roman" w:cs="Times New Roman"/>
                <w:sz w:val="28"/>
                <w:szCs w:val="28"/>
                <w:lang w:eastAsia="ja-JP"/>
              </w:rPr>
              <w:tab/>
              <w:t>for the transfer of the ownership of, or for the granting of the right to use, property owned by that enterprise or that the enterprise has the right to use; or</w:t>
            </w:r>
          </w:p>
          <w:p w:rsidR="00B26EA3" w:rsidRPr="00BF0409" w:rsidRDefault="00B26EA3" w:rsidP="0014706A">
            <w:pPr>
              <w:tabs>
                <w:tab w:val="left" w:pos="720"/>
                <w:tab w:val="left" w:pos="1440"/>
                <w:tab w:val="left" w:pos="2160"/>
                <w:tab w:val="left" w:pos="2880"/>
                <w:tab w:val="left" w:pos="3612"/>
                <w:tab w:val="center" w:pos="6237"/>
              </w:tabs>
              <w:overflowPunct w:val="0"/>
              <w:spacing w:line="240" w:lineRule="exact"/>
              <w:ind w:left="1440" w:hanging="1440"/>
              <w:rPr>
                <w:rFonts w:ascii="Times New Roman" w:eastAsia="MS Mincho" w:hAnsi="Times New Roman" w:cs="Times New Roman"/>
                <w:sz w:val="28"/>
                <w:szCs w:val="28"/>
                <w:lang w:eastAsia="ja-JP"/>
              </w:rPr>
            </w:pPr>
          </w:p>
          <w:p w:rsidR="00B26EA3" w:rsidRPr="00BF0409" w:rsidRDefault="00B26EA3" w:rsidP="0014706A">
            <w:pPr>
              <w:tabs>
                <w:tab w:val="left" w:pos="720"/>
                <w:tab w:val="left" w:pos="1440"/>
                <w:tab w:val="left" w:pos="2160"/>
                <w:tab w:val="left" w:pos="2880"/>
                <w:tab w:val="left" w:pos="3612"/>
                <w:tab w:val="center" w:pos="6237"/>
              </w:tabs>
              <w:overflowPunct w:val="0"/>
              <w:spacing w:line="240" w:lineRule="exact"/>
              <w:ind w:left="1440" w:hanging="1440"/>
              <w:rPr>
                <w:rFonts w:ascii="Times New Roman" w:eastAsia="MS Mincho" w:hAnsi="Times New Roman" w:cs="Times New Roman"/>
                <w:sz w:val="28"/>
                <w:szCs w:val="28"/>
                <w:lang w:eastAsia="ja-JP"/>
              </w:rPr>
            </w:pPr>
            <w:r w:rsidRPr="00BF0409">
              <w:rPr>
                <w:rFonts w:ascii="Times New Roman" w:eastAsia="MS Mincho" w:hAnsi="Times New Roman" w:cs="Times New Roman"/>
                <w:sz w:val="28"/>
                <w:szCs w:val="28"/>
                <w:lang w:eastAsia="ja-JP"/>
              </w:rPr>
              <w:tab/>
              <w:t>c)</w:t>
            </w:r>
            <w:r w:rsidRPr="00BF0409">
              <w:rPr>
                <w:rFonts w:ascii="Times New Roman" w:eastAsia="MS Mincho" w:hAnsi="Times New Roman" w:cs="Times New Roman"/>
                <w:sz w:val="28"/>
                <w:szCs w:val="28"/>
                <w:lang w:eastAsia="ja-JP"/>
              </w:rPr>
              <w:tab/>
              <w:t>for the provision of services by that enterprise,</w:t>
            </w:r>
          </w:p>
          <w:p w:rsidR="00B26EA3" w:rsidRPr="00BF0409" w:rsidRDefault="00B26EA3" w:rsidP="0014706A">
            <w:pPr>
              <w:tabs>
                <w:tab w:val="left" w:pos="720"/>
                <w:tab w:val="left" w:pos="1440"/>
                <w:tab w:val="left" w:pos="2160"/>
                <w:tab w:val="left" w:pos="2880"/>
                <w:tab w:val="left" w:pos="3612"/>
                <w:tab w:val="center" w:pos="6237"/>
              </w:tabs>
              <w:overflowPunct w:val="0"/>
              <w:spacing w:line="240" w:lineRule="exact"/>
              <w:rPr>
                <w:rFonts w:ascii="Times New Roman" w:hAnsi="Times New Roman" w:cs="Times New Roman"/>
                <w:sz w:val="28"/>
                <w:szCs w:val="28"/>
                <w:lang w:eastAsia="ja-JP"/>
              </w:rPr>
            </w:pPr>
          </w:p>
          <w:p w:rsidR="00B26EA3" w:rsidRPr="00BF0409" w:rsidRDefault="00B26EA3" w:rsidP="0014706A">
            <w:pPr>
              <w:tabs>
                <w:tab w:val="left" w:pos="720"/>
                <w:tab w:val="left" w:pos="1440"/>
                <w:tab w:val="left" w:pos="2160"/>
                <w:tab w:val="left" w:pos="2880"/>
                <w:tab w:val="left" w:pos="3612"/>
                <w:tab w:val="center" w:pos="6237"/>
              </w:tabs>
              <w:overflowPunct w:val="0"/>
              <w:spacing w:line="240" w:lineRule="exact"/>
              <w:jc w:val="both"/>
              <w:rPr>
                <w:rFonts w:ascii="Times New Roman" w:hAnsi="Times New Roman" w:cs="Times New Roman"/>
                <w:kern w:val="2"/>
                <w:sz w:val="28"/>
                <w:szCs w:val="28"/>
                <w:lang w:eastAsia="ja-JP"/>
              </w:rPr>
            </w:pPr>
            <w:r w:rsidRPr="00BF0409">
              <w:rPr>
                <w:rFonts w:ascii="Times New Roman" w:hAnsi="Times New Roman" w:cs="Times New Roman"/>
                <w:sz w:val="28"/>
                <w:szCs w:val="28"/>
                <w:lang w:eastAsia="ja-JP"/>
              </w:rPr>
              <w:t>that enterprise shall be deemed to have a permanent establishment in that Contracting State in respect of any activities which that person undertakes for the enterprise unless these activities, if they were exercised by the enterprise through a fixed place of business of that enterprise situated in that Contracting State, would not cause that fixed place of business to be deemed to constitute a permanent establishment under the definition of permanent establishment included in the provisions of Article 5 of the Convention.</w:t>
            </w:r>
          </w:p>
        </w:tc>
      </w:tr>
    </w:tbl>
    <w:p w:rsidR="00B26EA3" w:rsidRPr="00B26EA3" w:rsidRDefault="00B26EA3">
      <w:pPr>
        <w:spacing w:after="0"/>
        <w:jc w:val="both"/>
        <w:rPr>
          <w:rFonts w:ascii="Times New Roman" w:hAnsi="Times New Roman" w:cs="Times New Roman"/>
          <w:strike/>
          <w:sz w:val="28"/>
          <w:szCs w:val="28"/>
          <w:lang w:val="en-US"/>
        </w:rPr>
      </w:pPr>
    </w:p>
    <w:p w:rsidR="008612E1" w:rsidRPr="00630D27" w:rsidRDefault="00576710">
      <w:pPr>
        <w:spacing w:after="0"/>
        <w:jc w:val="both"/>
        <w:rPr>
          <w:rFonts w:ascii="Times New Roman" w:hAnsi="Times New Roman" w:cs="Times New Roman"/>
          <w:color w:val="000000"/>
          <w:sz w:val="28"/>
          <w:szCs w:val="28"/>
          <w:lang w:val="en-US"/>
        </w:rPr>
      </w:pPr>
      <w:r w:rsidRPr="00EF0575">
        <w:rPr>
          <w:rFonts w:ascii="Times New Roman" w:hAnsi="Times New Roman" w:cs="Times New Roman"/>
          <w:color w:val="000000"/>
          <w:sz w:val="28"/>
          <w:szCs w:val="28"/>
          <w:lang w:val="en-US"/>
        </w:rPr>
        <w:t xml:space="preserve">6. </w:t>
      </w:r>
      <w:r w:rsidR="00630D27" w:rsidRPr="00E41F10">
        <w:rPr>
          <w:rFonts w:ascii="Times New Roman" w:hAnsi="Times New Roman" w:cs="Times New Roman"/>
          <w:b/>
          <w:sz w:val="28"/>
          <w:szCs w:val="28"/>
          <w:lang w:val="en-US"/>
        </w:rPr>
        <w:t xml:space="preserve">[MODIFIED by paragraph </w:t>
      </w:r>
      <w:r w:rsidR="00630D27">
        <w:rPr>
          <w:rFonts w:ascii="Times New Roman" w:hAnsi="Times New Roman" w:cs="Times New Roman"/>
          <w:b/>
          <w:sz w:val="28"/>
          <w:szCs w:val="28"/>
          <w:lang w:val="en-US"/>
        </w:rPr>
        <w:t>2</w:t>
      </w:r>
      <w:r w:rsidR="00630D27" w:rsidRPr="00E41F10">
        <w:rPr>
          <w:rFonts w:ascii="Times New Roman" w:hAnsi="Times New Roman" w:cs="Times New Roman"/>
          <w:b/>
          <w:sz w:val="28"/>
          <w:szCs w:val="28"/>
          <w:lang w:val="en-US"/>
        </w:rPr>
        <w:t xml:space="preserve"> of Article 12 of the MLI]</w:t>
      </w:r>
      <w:r w:rsidR="00630D27" w:rsidRPr="00C333DD">
        <w:rPr>
          <w:rFonts w:ascii="Times New Roman" w:eastAsia="Times New Roman" w:hAnsi="Times New Roman" w:cs="Times New Roman"/>
          <w:color w:val="000000"/>
          <w:sz w:val="28"/>
          <w:szCs w:val="28"/>
          <w:lang w:val="en-US" w:eastAsia="ru-RU"/>
        </w:rPr>
        <w:t xml:space="preserve"> </w:t>
      </w:r>
      <w:r w:rsidRPr="00630D27">
        <w:rPr>
          <w:rFonts w:ascii="Times New Roman" w:hAnsi="Times New Roman" w:cs="Times New Roman"/>
          <w:color w:val="000000"/>
          <w:sz w:val="28"/>
          <w:szCs w:val="28"/>
          <w:lang w:val="en-US"/>
        </w:rPr>
        <w:t>An enterprise shall not be deemed to have a permanent establishment in a Contracting State merely because it carries on business in that State through a broker, general commission agent or any other agent of an independent status, provided that such persons are acting in the ordinary course of their business.</w:t>
      </w:r>
    </w:p>
    <w:p w:rsidR="00B26EA3" w:rsidRPr="00BF0409" w:rsidRDefault="00B26EA3" w:rsidP="00B26EA3">
      <w:pPr>
        <w:widowControl w:val="0"/>
        <w:tabs>
          <w:tab w:val="left" w:pos="720"/>
          <w:tab w:val="left" w:pos="1440"/>
          <w:tab w:val="left" w:pos="2160"/>
          <w:tab w:val="left" w:pos="2880"/>
          <w:tab w:val="left" w:pos="3612"/>
          <w:tab w:val="center" w:pos="6237"/>
        </w:tabs>
        <w:overflowPunct w:val="0"/>
        <w:rPr>
          <w:rFonts w:ascii="Times New Roman" w:eastAsia="MS Mincho" w:hAnsi="Times New Roman" w:cs="Times New Roman"/>
          <w:kern w:val="2"/>
          <w:sz w:val="28"/>
          <w:szCs w:val="28"/>
          <w:lang w:val="en-US" w:eastAsia="ja-JP"/>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26EA3" w:rsidRPr="00D57D21" w:rsidTr="0014706A">
        <w:tc>
          <w:tcPr>
            <w:tcW w:w="9445" w:type="dxa"/>
            <w:tcBorders>
              <w:top w:val="single" w:sz="4" w:space="0" w:color="auto"/>
              <w:bottom w:val="single" w:sz="4" w:space="0" w:color="auto"/>
            </w:tcBorders>
            <w:shd w:val="clear" w:color="auto" w:fill="auto"/>
          </w:tcPr>
          <w:p w:rsidR="00B26EA3" w:rsidRPr="00BF0409" w:rsidRDefault="00B26EA3" w:rsidP="0014706A">
            <w:pPr>
              <w:contextualSpacing/>
              <w:rPr>
                <w:rFonts w:ascii="Times New Roman" w:hAnsi="Times New Roman" w:cs="Times New Roman"/>
                <w:i/>
                <w:sz w:val="28"/>
                <w:szCs w:val="28"/>
                <w:lang w:val="en-US"/>
              </w:rPr>
            </w:pPr>
            <w:bookmarkStart w:id="2" w:name="_Hlk37223552"/>
            <w:r w:rsidRPr="00BF0409">
              <w:rPr>
                <w:rFonts w:ascii="Times New Roman" w:hAnsi="Times New Roman" w:cs="Times New Roman"/>
                <w:i/>
                <w:sz w:val="28"/>
                <w:szCs w:val="28"/>
                <w:lang w:val="en-US" w:eastAsia="en-GB"/>
              </w:rPr>
              <w:t xml:space="preserve">The following paragraph 2 of Article 12 of the MLI </w:t>
            </w:r>
            <w:r w:rsidR="00630D27">
              <w:rPr>
                <w:i/>
                <w:sz w:val="28"/>
                <w:szCs w:val="28"/>
                <w:lang w:val="en-US" w:eastAsia="en-GB"/>
              </w:rPr>
              <w:t>applies to</w:t>
            </w:r>
            <w:r w:rsidRPr="00BF0409">
              <w:rPr>
                <w:rFonts w:ascii="Times New Roman" w:hAnsi="Times New Roman" w:cs="Times New Roman"/>
                <w:i/>
                <w:sz w:val="28"/>
                <w:szCs w:val="28"/>
                <w:lang w:val="en-US" w:eastAsia="en-GB"/>
              </w:rPr>
              <w:t xml:space="preserve"> </w:t>
            </w:r>
            <w:r w:rsidRPr="00BF0409">
              <w:rPr>
                <w:rFonts w:ascii="Times New Roman" w:hAnsi="Times New Roman" w:cs="Times New Roman"/>
                <w:i/>
                <w:sz w:val="28"/>
                <w:szCs w:val="28"/>
                <w:lang w:val="en-US"/>
              </w:rPr>
              <w:t xml:space="preserve">paragraph </w:t>
            </w:r>
            <w:r>
              <w:rPr>
                <w:rFonts w:ascii="Times New Roman" w:hAnsi="Times New Roman" w:cs="Times New Roman"/>
                <w:i/>
                <w:sz w:val="28"/>
                <w:szCs w:val="28"/>
                <w:lang w:val="en-US"/>
              </w:rPr>
              <w:t>6</w:t>
            </w:r>
            <w:r w:rsidRPr="00BF0409">
              <w:rPr>
                <w:rFonts w:ascii="Times New Roman" w:hAnsi="Times New Roman" w:cs="Times New Roman"/>
                <w:i/>
                <w:sz w:val="28"/>
                <w:szCs w:val="28"/>
                <w:lang w:val="en-US"/>
              </w:rPr>
              <w:t xml:space="preserve"> of Article 5 of this Convention:</w:t>
            </w:r>
          </w:p>
          <w:p w:rsidR="00B26EA3" w:rsidRPr="00BF0409" w:rsidRDefault="00B26EA3" w:rsidP="0014706A">
            <w:pPr>
              <w:contextualSpacing/>
              <w:rPr>
                <w:rFonts w:ascii="Times New Roman" w:hAnsi="Times New Roman" w:cs="Times New Roman"/>
                <w:b/>
                <w:bCs/>
                <w:sz w:val="28"/>
                <w:szCs w:val="28"/>
                <w:lang w:val="en-US"/>
              </w:rPr>
            </w:pPr>
          </w:p>
          <w:p w:rsidR="00B26EA3" w:rsidRPr="00BF0409" w:rsidRDefault="00B26EA3" w:rsidP="0014706A">
            <w:pPr>
              <w:keepNext/>
              <w:keepLines/>
              <w:tabs>
                <w:tab w:val="left" w:pos="850"/>
                <w:tab w:val="left" w:pos="1191"/>
                <w:tab w:val="left" w:pos="1531"/>
              </w:tabs>
              <w:ind w:right="680"/>
              <w:contextualSpacing/>
              <w:jc w:val="center"/>
              <w:outlineLvl w:val="2"/>
              <w:rPr>
                <w:rFonts w:ascii="Times New Roman" w:hAnsi="Times New Roman" w:cs="Times New Roman"/>
                <w:bCs/>
                <w:sz w:val="28"/>
                <w:szCs w:val="28"/>
                <w:lang w:val="en-US" w:eastAsia="en-GB"/>
              </w:rPr>
            </w:pPr>
            <w:r w:rsidRPr="00BF0409">
              <w:rPr>
                <w:rFonts w:ascii="Times New Roman" w:hAnsi="Times New Roman" w:cs="Times New Roman"/>
                <w:bCs/>
                <w:sz w:val="28"/>
                <w:szCs w:val="28"/>
                <w:lang w:val="en-US" w:eastAsia="en-GB"/>
              </w:rPr>
              <w:lastRenderedPageBreak/>
              <w:t>ARTICLE 12 – ARTIFICIAL AVOIDANCE OF PERMANENT ESTABLISHMENT STATUS THROUGH COMMISSIONAIRE ARRANGEMENTS AND SIMILAR STRATEGIES</w:t>
            </w:r>
          </w:p>
          <w:p w:rsidR="00B26EA3" w:rsidRPr="00BF0409" w:rsidRDefault="00B26EA3" w:rsidP="0014706A">
            <w:pPr>
              <w:tabs>
                <w:tab w:val="left" w:pos="567"/>
              </w:tabs>
              <w:autoSpaceDE w:val="0"/>
              <w:autoSpaceDN w:val="0"/>
              <w:adjustRightInd w:val="0"/>
              <w:contextualSpacing/>
              <w:rPr>
                <w:rFonts w:ascii="Times New Roman" w:hAnsi="Times New Roman" w:cs="Times New Roman"/>
                <w:i/>
                <w:iCs/>
                <w:sz w:val="28"/>
                <w:szCs w:val="28"/>
                <w:lang w:val="en-US" w:eastAsia="en-GB"/>
              </w:rPr>
            </w:pPr>
          </w:p>
          <w:p w:rsidR="00B26EA3" w:rsidRPr="00BF0409" w:rsidRDefault="00B26EA3" w:rsidP="0014706A">
            <w:pPr>
              <w:tabs>
                <w:tab w:val="left" w:pos="720"/>
                <w:tab w:val="left" w:pos="1440"/>
                <w:tab w:val="left" w:pos="2160"/>
                <w:tab w:val="left" w:pos="2880"/>
                <w:tab w:val="left" w:pos="3612"/>
                <w:tab w:val="center" w:pos="6237"/>
              </w:tabs>
              <w:overflowPunct w:val="0"/>
              <w:spacing w:line="240" w:lineRule="exact"/>
              <w:jc w:val="both"/>
              <w:rPr>
                <w:rFonts w:ascii="Times New Roman" w:eastAsia="SimSun" w:hAnsi="Times New Roman" w:cs="Times New Roman"/>
                <w:iCs/>
                <w:sz w:val="28"/>
                <w:szCs w:val="28"/>
                <w:lang w:val="en-US"/>
              </w:rPr>
            </w:pPr>
            <w:r w:rsidRPr="00BF0409">
              <w:rPr>
                <w:rFonts w:ascii="Times New Roman" w:hAnsi="Times New Roman" w:cs="Times New Roman"/>
                <w:sz w:val="28"/>
                <w:szCs w:val="28"/>
                <w:shd w:val="clear" w:color="auto" w:fill="FFFFFF" w:themeFill="background1"/>
                <w:lang w:val="en-US" w:eastAsia="ja-JP"/>
              </w:rPr>
              <w:t xml:space="preserve">Paragraph </w:t>
            </w:r>
            <w:r>
              <w:rPr>
                <w:rFonts w:ascii="Times New Roman" w:hAnsi="Times New Roman" w:cs="Times New Roman"/>
                <w:sz w:val="28"/>
                <w:szCs w:val="28"/>
                <w:shd w:val="clear" w:color="auto" w:fill="FFFFFF" w:themeFill="background1"/>
                <w:lang w:val="en-US" w:eastAsia="ja-JP"/>
              </w:rPr>
              <w:t>5</w:t>
            </w:r>
            <w:r w:rsidRPr="00BF0409">
              <w:rPr>
                <w:rFonts w:ascii="Times New Roman" w:hAnsi="Times New Roman" w:cs="Times New Roman"/>
                <w:sz w:val="28"/>
                <w:szCs w:val="28"/>
                <w:shd w:val="clear" w:color="auto" w:fill="FFFFFF" w:themeFill="background1"/>
                <w:lang w:val="en-US" w:eastAsia="ja-JP"/>
              </w:rPr>
              <w:t xml:space="preserve"> of Article </w:t>
            </w:r>
            <w:r>
              <w:rPr>
                <w:rFonts w:ascii="Times New Roman" w:hAnsi="Times New Roman" w:cs="Times New Roman"/>
                <w:sz w:val="28"/>
                <w:szCs w:val="28"/>
                <w:shd w:val="clear" w:color="auto" w:fill="FFFFFF" w:themeFill="background1"/>
                <w:lang w:val="en-US" w:eastAsia="ja-JP"/>
              </w:rPr>
              <w:t>5</w:t>
            </w:r>
            <w:r w:rsidRPr="00BF0409">
              <w:rPr>
                <w:rFonts w:ascii="Times New Roman" w:hAnsi="Times New Roman" w:cs="Times New Roman"/>
                <w:sz w:val="28"/>
                <w:szCs w:val="28"/>
                <w:shd w:val="clear" w:color="auto" w:fill="FFFFFF" w:themeFill="background1"/>
                <w:lang w:val="en-US" w:eastAsia="ja-JP"/>
              </w:rPr>
              <w:t xml:space="preserve"> of the </w:t>
            </w:r>
            <w:r>
              <w:rPr>
                <w:rFonts w:ascii="Times New Roman" w:hAnsi="Times New Roman" w:cs="Times New Roman"/>
                <w:sz w:val="28"/>
                <w:szCs w:val="28"/>
                <w:shd w:val="clear" w:color="auto" w:fill="FFFFFF" w:themeFill="background1"/>
                <w:lang w:val="en-US" w:eastAsia="ja-JP"/>
              </w:rPr>
              <w:t>Convention</w:t>
            </w:r>
            <w:r w:rsidRPr="00BF0409">
              <w:rPr>
                <w:rFonts w:ascii="Times New Roman" w:hAnsi="Times New Roman" w:cs="Times New Roman"/>
                <w:sz w:val="28"/>
                <w:szCs w:val="28"/>
                <w:shd w:val="clear" w:color="auto" w:fill="FFFFFF" w:themeFill="background1"/>
                <w:lang w:val="en-US"/>
              </w:rPr>
              <w:t xml:space="preserve"> </w:t>
            </w:r>
            <w:r w:rsidR="00630D27" w:rsidRPr="00B918CC">
              <w:rPr>
                <w:rFonts w:ascii="Times New Roman" w:hAnsi="Times New Roman" w:cs="Times New Roman"/>
                <w:sz w:val="28"/>
                <w:szCs w:val="28"/>
                <w:lang w:val="en-US"/>
              </w:rPr>
              <w:t>as modified by Paragraph 1 of Article 12 of the MLI</w:t>
            </w:r>
            <w:r w:rsidR="00630D27" w:rsidRPr="00BF0409">
              <w:rPr>
                <w:sz w:val="28"/>
                <w:szCs w:val="28"/>
                <w:lang w:val="en-US" w:eastAsia="ja-JP"/>
              </w:rPr>
              <w:t xml:space="preserve"> </w:t>
            </w:r>
            <w:r w:rsidRPr="00BF0409">
              <w:rPr>
                <w:rFonts w:ascii="Times New Roman" w:hAnsi="Times New Roman" w:cs="Times New Roman"/>
                <w:sz w:val="28"/>
                <w:szCs w:val="28"/>
                <w:lang w:val="en-US" w:eastAsia="ja-JP"/>
              </w:rPr>
              <w:t>shall not apply where the person acting in a Contracting State on behalf of an enterprise of the other Contracting State carries on business in the first-mentioned Contracting State as an independent agent and acts for the enterprise in the ordinary course of that business. Where, however, a person acts exclusively or almost exclusively on behalf of one or more enterprises to which it is closely related, that person shall not be considered to be an independent agent within the meaning of this paragraph with respect to any such enterprise.</w:t>
            </w:r>
          </w:p>
        </w:tc>
      </w:tr>
      <w:bookmarkEnd w:id="2"/>
    </w:tbl>
    <w:p w:rsidR="00B26EA3" w:rsidRPr="00B26EA3" w:rsidRDefault="00B26EA3">
      <w:pPr>
        <w:spacing w:after="0"/>
        <w:jc w:val="both"/>
        <w:rPr>
          <w:rFonts w:ascii="Times New Roman" w:hAnsi="Times New Roman" w:cs="Times New Roman"/>
          <w:strike/>
          <w:sz w:val="28"/>
          <w:szCs w:val="28"/>
          <w:lang w:val="en-US"/>
        </w:rPr>
      </w:pP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7. 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rsidR="00B26EA3" w:rsidRDefault="00576710" w:rsidP="00B26EA3">
      <w:pPr>
        <w:keepNext/>
        <w:keepLines/>
        <w:pBdr>
          <w:top w:val="single" w:sz="4" w:space="1" w:color="auto"/>
          <w:left w:val="single" w:sz="4" w:space="4" w:color="auto"/>
          <w:bottom w:val="single" w:sz="4" w:space="1" w:color="auto"/>
          <w:right w:val="single" w:sz="4" w:space="4" w:color="auto"/>
        </w:pBdr>
        <w:tabs>
          <w:tab w:val="left" w:pos="850"/>
          <w:tab w:val="left" w:pos="1191"/>
          <w:tab w:val="left" w:pos="1531"/>
        </w:tabs>
        <w:ind w:right="680"/>
        <w:contextualSpacing/>
        <w:jc w:val="both"/>
        <w:outlineLvl w:val="2"/>
        <w:rPr>
          <w:rFonts w:ascii="Times New Roman" w:hAnsi="Times New Roman" w:cs="Times New Roman"/>
          <w:bCs/>
          <w:iCs/>
          <w:sz w:val="28"/>
          <w:szCs w:val="28"/>
          <w:lang w:val="en-US" w:eastAsia="en-GB"/>
        </w:rPr>
      </w:pPr>
      <w:r w:rsidRPr="00EF0575">
        <w:rPr>
          <w:rFonts w:ascii="Times New Roman" w:hAnsi="Times New Roman" w:cs="Times New Roman"/>
          <w:color w:val="000000"/>
          <w:sz w:val="28"/>
          <w:szCs w:val="28"/>
          <w:lang w:val="en-US"/>
        </w:rPr>
        <w:t> </w:t>
      </w:r>
      <w:r w:rsidR="00B26EA3" w:rsidRPr="00BF0409">
        <w:rPr>
          <w:rFonts w:ascii="Times New Roman" w:hAnsi="Times New Roman" w:cs="Times New Roman"/>
          <w:i/>
          <w:sz w:val="28"/>
          <w:szCs w:val="28"/>
          <w:lang w:val="en-US" w:eastAsia="en-GB"/>
        </w:rPr>
        <w:t>The following paragraph 1 of Article 15 of the MLI applies to</w:t>
      </w:r>
      <w:r w:rsidR="00B26EA3" w:rsidRPr="00BF0409">
        <w:rPr>
          <w:rFonts w:ascii="Times New Roman" w:hAnsi="Times New Roman" w:cs="Times New Roman"/>
          <w:i/>
          <w:iCs/>
          <w:sz w:val="28"/>
          <w:szCs w:val="28"/>
          <w:lang w:val="en-US" w:eastAsia="en-GB"/>
        </w:rPr>
        <w:t xml:space="preserve"> the provisions of this Convention:</w:t>
      </w:r>
      <w:r w:rsidR="00B26EA3" w:rsidRPr="00B26EA3">
        <w:rPr>
          <w:rFonts w:ascii="Times New Roman" w:hAnsi="Times New Roman" w:cs="Times New Roman"/>
          <w:bCs/>
          <w:iCs/>
          <w:sz w:val="28"/>
          <w:szCs w:val="28"/>
          <w:lang w:val="en-US" w:eastAsia="en-GB"/>
        </w:rPr>
        <w:t xml:space="preserve"> </w:t>
      </w:r>
    </w:p>
    <w:p w:rsidR="00B26EA3" w:rsidRDefault="00B26EA3" w:rsidP="00B26EA3">
      <w:pPr>
        <w:keepNext/>
        <w:keepLines/>
        <w:pBdr>
          <w:top w:val="single" w:sz="4" w:space="1" w:color="auto"/>
          <w:left w:val="single" w:sz="4" w:space="4" w:color="auto"/>
          <w:bottom w:val="single" w:sz="4" w:space="1" w:color="auto"/>
          <w:right w:val="single" w:sz="4" w:space="4" w:color="auto"/>
        </w:pBdr>
        <w:tabs>
          <w:tab w:val="left" w:pos="850"/>
          <w:tab w:val="left" w:pos="1191"/>
          <w:tab w:val="left" w:pos="1531"/>
        </w:tabs>
        <w:ind w:right="680"/>
        <w:contextualSpacing/>
        <w:jc w:val="both"/>
        <w:outlineLvl w:val="2"/>
        <w:rPr>
          <w:rFonts w:ascii="Times New Roman" w:hAnsi="Times New Roman" w:cs="Times New Roman"/>
          <w:bCs/>
          <w:iCs/>
          <w:sz w:val="28"/>
          <w:szCs w:val="28"/>
          <w:lang w:val="en-US" w:eastAsia="en-GB"/>
        </w:rPr>
      </w:pPr>
    </w:p>
    <w:p w:rsidR="00B26EA3" w:rsidRDefault="00B26EA3" w:rsidP="00B26EA3">
      <w:pPr>
        <w:keepNext/>
        <w:keepLines/>
        <w:pBdr>
          <w:top w:val="single" w:sz="4" w:space="1" w:color="auto"/>
          <w:left w:val="single" w:sz="4" w:space="4" w:color="auto"/>
          <w:bottom w:val="single" w:sz="4" w:space="1" w:color="auto"/>
          <w:right w:val="single" w:sz="4" w:space="4" w:color="auto"/>
        </w:pBdr>
        <w:tabs>
          <w:tab w:val="left" w:pos="850"/>
          <w:tab w:val="left" w:pos="1191"/>
          <w:tab w:val="left" w:pos="1531"/>
        </w:tabs>
        <w:ind w:right="680"/>
        <w:contextualSpacing/>
        <w:jc w:val="center"/>
        <w:outlineLvl w:val="2"/>
        <w:rPr>
          <w:rFonts w:ascii="Times New Roman" w:eastAsia="MS Mincho" w:hAnsi="Times New Roman" w:cs="Times New Roman"/>
          <w:sz w:val="28"/>
          <w:szCs w:val="28"/>
          <w:lang w:val="en-US" w:eastAsia="ja-JP"/>
        </w:rPr>
      </w:pPr>
      <w:r w:rsidRPr="00BF0409">
        <w:rPr>
          <w:rFonts w:ascii="Times New Roman" w:hAnsi="Times New Roman" w:cs="Times New Roman"/>
          <w:bCs/>
          <w:iCs/>
          <w:sz w:val="28"/>
          <w:szCs w:val="28"/>
          <w:lang w:val="en-US" w:eastAsia="en-GB"/>
        </w:rPr>
        <w:t>ARTICLE 15 – DEFINITION OF A PERSON CLOSELY RELATED TO AN ENTERPRISE</w:t>
      </w:r>
    </w:p>
    <w:p w:rsidR="00B26EA3" w:rsidRDefault="00B26EA3" w:rsidP="00B26EA3">
      <w:pPr>
        <w:keepNext/>
        <w:keepLines/>
        <w:pBdr>
          <w:top w:val="single" w:sz="4" w:space="1" w:color="auto"/>
          <w:left w:val="single" w:sz="4" w:space="4" w:color="auto"/>
          <w:bottom w:val="single" w:sz="4" w:space="1" w:color="auto"/>
          <w:right w:val="single" w:sz="4" w:space="4" w:color="auto"/>
        </w:pBdr>
        <w:tabs>
          <w:tab w:val="left" w:pos="850"/>
          <w:tab w:val="left" w:pos="1191"/>
          <w:tab w:val="left" w:pos="1531"/>
        </w:tabs>
        <w:ind w:right="680"/>
        <w:contextualSpacing/>
        <w:jc w:val="both"/>
        <w:outlineLvl w:val="2"/>
        <w:rPr>
          <w:rFonts w:ascii="Times New Roman" w:eastAsia="MS Mincho" w:hAnsi="Times New Roman" w:cs="Times New Roman"/>
          <w:sz w:val="28"/>
          <w:szCs w:val="28"/>
          <w:lang w:val="en-US" w:eastAsia="ja-JP"/>
        </w:rPr>
      </w:pPr>
    </w:p>
    <w:p w:rsidR="00B26EA3" w:rsidRPr="00BF0409" w:rsidRDefault="00B26EA3" w:rsidP="00B26EA3">
      <w:pPr>
        <w:keepNext/>
        <w:keepLines/>
        <w:pBdr>
          <w:top w:val="single" w:sz="4" w:space="1" w:color="auto"/>
          <w:left w:val="single" w:sz="4" w:space="4" w:color="auto"/>
          <w:bottom w:val="single" w:sz="4" w:space="1" w:color="auto"/>
          <w:right w:val="single" w:sz="4" w:space="4" w:color="auto"/>
        </w:pBdr>
        <w:tabs>
          <w:tab w:val="left" w:pos="850"/>
          <w:tab w:val="left" w:pos="1191"/>
          <w:tab w:val="left" w:pos="1531"/>
        </w:tabs>
        <w:ind w:right="680"/>
        <w:contextualSpacing/>
        <w:jc w:val="both"/>
        <w:outlineLvl w:val="2"/>
        <w:rPr>
          <w:rFonts w:ascii="Times New Roman" w:hAnsi="Times New Roman" w:cs="Times New Roman"/>
          <w:bCs/>
          <w:iCs/>
          <w:sz w:val="28"/>
          <w:szCs w:val="28"/>
          <w:lang w:val="en-US" w:eastAsia="en-GB"/>
        </w:rPr>
      </w:pPr>
      <w:r w:rsidRPr="00BF0409">
        <w:rPr>
          <w:rFonts w:ascii="Times New Roman" w:eastAsia="MS Mincho" w:hAnsi="Times New Roman" w:cs="Times New Roman"/>
          <w:sz w:val="28"/>
          <w:szCs w:val="28"/>
          <w:lang w:val="en-US" w:eastAsia="ja-JP"/>
        </w:rPr>
        <w:t>For the purposes of the provisions of Article</w:t>
      </w:r>
      <w:r>
        <w:rPr>
          <w:rFonts w:ascii="Times New Roman" w:eastAsia="MS Mincho" w:hAnsi="Times New Roman" w:cs="Times New Roman"/>
          <w:sz w:val="28"/>
          <w:szCs w:val="28"/>
          <w:lang w:val="en-US" w:eastAsia="ja-JP"/>
        </w:rPr>
        <w:t xml:space="preserve"> 5 of the </w:t>
      </w:r>
      <w:r>
        <w:rPr>
          <w:rFonts w:ascii="Times New Roman" w:hAnsi="Times New Roman" w:cs="Times New Roman"/>
          <w:sz w:val="28"/>
          <w:szCs w:val="28"/>
          <w:shd w:val="clear" w:color="auto" w:fill="FFFFFF" w:themeFill="background1"/>
          <w:lang w:val="en-US" w:eastAsia="ja-JP"/>
        </w:rPr>
        <w:t>Convention</w:t>
      </w:r>
      <w:r w:rsidRPr="00BF0409">
        <w:rPr>
          <w:rFonts w:ascii="Times New Roman" w:eastAsia="MS Mincho" w:hAnsi="Times New Roman" w:cs="Times New Roman"/>
          <w:sz w:val="28"/>
          <w:szCs w:val="28"/>
          <w:lang w:val="en-US" w:eastAsia="ja-JP"/>
        </w:rPr>
        <w:t>, a person is closely related to an enterprise if, based on all the relevant facts and circumstances, one has control of the other or both are under the control of the same persons or enterprises. In any case, a person shall be considered to be closely related to an enterprise if one possesses directly or indirectly more than 50 per cent of the beneficial interest in the other (or, in the case of a company, more than 50 per cent of the aggregate vote and value of the company’s shares or of the beneficial equity interest in the company) or if another person possesses directly or indirectly more than 50 per cent of the beneficial interest (or, in the case of a company, more than 50 per cent of the aggregate vote and value of the company’s shares or of the beneficial equity interest in the company) in the person and the enterprise.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6</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INCOME FROM IMMOVABLE PROPERTY</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lastRenderedPageBreak/>
        <w:t>1. Income derived by a resident of a Contracting State from immovable property (including income from agriculture or forestry) situated in the other Contracting State may be taxed in that other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2. The term «immovable property» shall have the meaning which it has under the law of the Contracting State in which the property in question is situated. The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aircraft and road vehicle shall not be regarded as immovable property.</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3. The provisions of paragraph 1 shall apply to income derived from the direct use, letting, or use in any other form of immovable property.</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4. The provisions of paragraphs 1 and 3 shall also apply to the income from immovable property of an enterprise and to income from immovable property used for the performance of independent personal services.</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7</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BUSINESS PROFITS</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1. The profits of an enterprise of a Contracting State shall be taxable only in that State unless the enterprise carries on business in the other Contracting State through a permanent establishment situated therein. If the enterprise carries on business as aforesaid, the profits of the enterprise may be taxed in the other State but only so much of them as is attributable to:</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a) that permanent establishment;</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b) sales in that other State of goods or merchandise of the same or similar kind as those sold through that permanent establishment; or</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c) other business activities carried on in that other State of the same or similar kind as those effected through that permanent establishment.</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xml:space="preserve">2. Subject to the provisions of paragraph 3, where an enterprise of a Contracting State carries on business in the other Contracting State through a permanent </w:t>
      </w:r>
      <w:r w:rsidRPr="00EF0575">
        <w:rPr>
          <w:rFonts w:ascii="Times New Roman" w:hAnsi="Times New Roman" w:cs="Times New Roman"/>
          <w:color w:val="000000"/>
          <w:sz w:val="28"/>
          <w:szCs w:val="28"/>
          <w:lang w:val="en-US"/>
        </w:rPr>
        <w:lastRenderedPageBreak/>
        <w:t>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3. In determining the profits of a permanent establishment, there shall be allowed as deductions expenses which are incurred for the purposes of the permanent establishment, including executive and general administrative expenses so incurred, whether in the State in which the permanent establishment is situated or elsewhere. In any case, such expenses can not include any amounts paid by a permanent establishment to the enterprise or to any part of it, such as royalties, fees, or other similar payments in return for the use of patents or other rights or such as commission for specific services performed or for management, (except reimbursement of expenses actually incurred in the permanent establishment) or interest on money lent to the permanent establishment by the enterprise.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4. Insofar as it has been customary in a Contracting State to determine the profits to be attributed to a permanent establishment on the basis of an apportionment of the total profits of the enterprise to its various parts, nothing in paragraph 2 shall preclude that Contracting State from determining the profits to be taxed by such an apportionment as may be customary. The method of apportionment adopted shall however, be such that the result shall be in accordance with the principles contained in this Article.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5. No profits shall be attributed to a permanent establishment by reason of the mere purchase by that permanent establishment of goods or merchandise for the enterprise.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6. Where profits include items of income which are dealt with separately in other Articles of this Convention, then the provisions of those Articles shall not be affected by the provisions of this Article.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7. For the purposes of preceding paragraphs, the profits to be attributed to the permanent establishment shall be determined by the same method year by year unless there is good and sufficient reason to the contrary.</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8</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lastRenderedPageBreak/>
        <w:t>INTERNATIONAL TRAFFIC</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1. Profits derived by a resident of Contracting State from the operation of ships, aircraft and road vehicle in international traffic shall be taxable only in that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2. The provisions of paragraph I shall also apply to profits from the participation in a pool, a joint business or an international operating agency.</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9</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ASSOCIATED ENTERPRISES</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1. Where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a) an enterprise of a Contracting State participates directly or indirectly in the management, control or capital of an enterprise of the other Contracting State, or</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b) the same persons participate directly or indirectly in the management, control or capital of an enterprise of a Contracting State and an enterprise of the other Contracting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2. 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lastRenderedPageBreak/>
        <w:t>Article 10</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DIVIDENDS</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1. Dividends paid by a company which is a resident of a Contracting State to a resident of the other Contracting State may be taxed in that other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2. However, such dividends may also be taxed in the Contracting State of which the company paying the dividends is a resident and according to the laws of that State, but if the beneficial owner of the dividends is a resident of the other Contracting State, the tax so charged shall not exceed:</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Default="00576710">
      <w:pPr>
        <w:spacing w:after="0"/>
        <w:jc w:val="both"/>
        <w:rPr>
          <w:rFonts w:ascii="Times New Roman" w:hAnsi="Times New Roman" w:cs="Times New Roman"/>
          <w:color w:val="000000"/>
          <w:sz w:val="28"/>
          <w:szCs w:val="28"/>
          <w:lang w:val="en-US"/>
        </w:rPr>
      </w:pPr>
      <w:r w:rsidRPr="00EF0575">
        <w:rPr>
          <w:rFonts w:ascii="Times New Roman" w:hAnsi="Times New Roman" w:cs="Times New Roman"/>
          <w:color w:val="000000"/>
          <w:sz w:val="28"/>
          <w:szCs w:val="28"/>
          <w:lang w:val="en-US"/>
        </w:rPr>
        <w:t xml:space="preserve">a) </w:t>
      </w:r>
      <w:r w:rsidR="00630D27" w:rsidRPr="00630D27">
        <w:rPr>
          <w:rFonts w:ascii="Times New Roman" w:hAnsi="Times New Roman" w:cs="Times New Roman"/>
          <w:b/>
          <w:sz w:val="28"/>
          <w:szCs w:val="28"/>
          <w:lang w:val="en-US"/>
        </w:rPr>
        <w:t>[MODIFIED by paragraph 1 of Article 8 of the MLI]</w:t>
      </w:r>
      <w:r w:rsidR="00630D27" w:rsidRPr="0028759F">
        <w:rPr>
          <w:color w:val="000000"/>
          <w:sz w:val="28"/>
          <w:szCs w:val="28"/>
          <w:lang w:val="en-US"/>
        </w:rPr>
        <w:t xml:space="preserve"> </w:t>
      </w:r>
      <w:r w:rsidRPr="00EF0575">
        <w:rPr>
          <w:rFonts w:ascii="Times New Roman" w:hAnsi="Times New Roman" w:cs="Times New Roman"/>
          <w:color w:val="000000"/>
          <w:sz w:val="28"/>
          <w:szCs w:val="28"/>
          <w:lang w:val="en-US"/>
        </w:rPr>
        <w:t>10 per cent of the gross amount of the dividend if the beneficial owner is a company (other than a partnership) which holds directly at least 30 per cent of the capital of the company paying the dividends;</w:t>
      </w:r>
    </w:p>
    <w:p w:rsidR="0019441D" w:rsidRDefault="0019441D">
      <w:pPr>
        <w:spacing w:after="0"/>
        <w:jc w:val="both"/>
        <w:rPr>
          <w:rFonts w:ascii="Times New Roman" w:hAnsi="Times New Roman" w:cs="Times New Roman"/>
          <w:color w:val="000000"/>
          <w:sz w:val="28"/>
          <w:szCs w:val="28"/>
          <w:lang w:val="en-US"/>
        </w:rPr>
      </w:pPr>
    </w:p>
    <w:p w:rsidR="0019441D" w:rsidRDefault="0019441D" w:rsidP="0019441D">
      <w:pPr>
        <w:pBdr>
          <w:top w:val="single" w:sz="4" w:space="1" w:color="auto"/>
          <w:left w:val="single" w:sz="4" w:space="4" w:color="auto"/>
          <w:bottom w:val="single" w:sz="4" w:space="1" w:color="auto"/>
          <w:right w:val="single" w:sz="4" w:space="4" w:color="auto"/>
        </w:pBdr>
        <w:jc w:val="both"/>
        <w:rPr>
          <w:rFonts w:ascii="Times New Roman" w:hAnsi="Times New Roman" w:cs="Times New Roman"/>
          <w:bCs/>
          <w:iCs/>
          <w:sz w:val="28"/>
          <w:szCs w:val="28"/>
          <w:lang w:val="en-US"/>
        </w:rPr>
      </w:pPr>
      <w:r w:rsidRPr="00782C45">
        <w:rPr>
          <w:rFonts w:ascii="Times New Roman" w:hAnsi="Times New Roman" w:cs="Times New Roman"/>
          <w:i/>
          <w:iCs/>
          <w:sz w:val="28"/>
          <w:szCs w:val="28"/>
          <w:lang w:val="en-US"/>
        </w:rPr>
        <w:t xml:space="preserve">The following paragraph 1 of Article </w:t>
      </w:r>
      <w:r>
        <w:rPr>
          <w:rFonts w:ascii="Times New Roman" w:hAnsi="Times New Roman" w:cs="Times New Roman"/>
          <w:i/>
          <w:iCs/>
          <w:sz w:val="28"/>
          <w:szCs w:val="28"/>
          <w:lang w:val="en-US"/>
        </w:rPr>
        <w:t>8</w:t>
      </w:r>
      <w:r w:rsidRPr="00782C45">
        <w:rPr>
          <w:rFonts w:ascii="Times New Roman" w:hAnsi="Times New Roman" w:cs="Times New Roman"/>
          <w:i/>
          <w:iCs/>
          <w:sz w:val="28"/>
          <w:szCs w:val="28"/>
          <w:lang w:val="en-US"/>
        </w:rPr>
        <w:t xml:space="preserve"> of the </w:t>
      </w:r>
      <w:r>
        <w:rPr>
          <w:rFonts w:ascii="Times New Roman" w:hAnsi="Times New Roman" w:cs="Times New Roman"/>
          <w:i/>
          <w:iCs/>
          <w:sz w:val="28"/>
          <w:szCs w:val="28"/>
          <w:lang w:val="en-US"/>
        </w:rPr>
        <w:t xml:space="preserve">MLI </w:t>
      </w:r>
      <w:r w:rsidRPr="004A7909">
        <w:rPr>
          <w:rFonts w:ascii="Times New Roman" w:hAnsi="Times New Roman" w:cs="Times New Roman"/>
          <w:i/>
          <w:iCs/>
          <w:sz w:val="28"/>
          <w:szCs w:val="28"/>
          <w:lang w:val="en-US"/>
        </w:rPr>
        <w:t xml:space="preserve">applies </w:t>
      </w:r>
      <w:r>
        <w:rPr>
          <w:rFonts w:ascii="Times New Roman" w:hAnsi="Times New Roman" w:cs="Times New Roman"/>
          <w:i/>
          <w:iCs/>
          <w:sz w:val="28"/>
          <w:szCs w:val="28"/>
          <w:lang w:val="en-US"/>
        </w:rPr>
        <w:t>to subparagraph</w:t>
      </w:r>
      <w:r w:rsidRPr="004A7909">
        <w:rPr>
          <w:rFonts w:ascii="Times New Roman" w:hAnsi="Times New Roman" w:cs="Times New Roman"/>
          <w:i/>
          <w:iCs/>
          <w:sz w:val="28"/>
          <w:szCs w:val="28"/>
          <w:lang w:val="en-US"/>
        </w:rPr>
        <w:t xml:space="preserve"> </w:t>
      </w:r>
      <w:r>
        <w:rPr>
          <w:rFonts w:ascii="Times New Roman" w:hAnsi="Times New Roman" w:cs="Times New Roman"/>
          <w:i/>
          <w:iCs/>
          <w:sz w:val="28"/>
          <w:szCs w:val="28"/>
          <w:lang w:val="en-US"/>
        </w:rPr>
        <w:t xml:space="preserve">a) </w:t>
      </w:r>
      <w:r w:rsidRPr="004A7909">
        <w:rPr>
          <w:rFonts w:ascii="Times New Roman" w:hAnsi="Times New Roman" w:cs="Times New Roman"/>
          <w:i/>
          <w:iCs/>
          <w:sz w:val="28"/>
          <w:szCs w:val="28"/>
          <w:lang w:val="en-US"/>
        </w:rPr>
        <w:t xml:space="preserve">of </w:t>
      </w:r>
      <w:r>
        <w:rPr>
          <w:rFonts w:ascii="Times New Roman" w:hAnsi="Times New Roman" w:cs="Times New Roman"/>
          <w:i/>
          <w:iCs/>
          <w:sz w:val="28"/>
          <w:szCs w:val="28"/>
          <w:lang w:val="en-US"/>
        </w:rPr>
        <w:t xml:space="preserve">paragraph 2 of Article 10 of this </w:t>
      </w:r>
      <w:r w:rsidRPr="004A7909">
        <w:rPr>
          <w:rFonts w:ascii="Times New Roman" w:hAnsi="Times New Roman" w:cs="Times New Roman"/>
          <w:i/>
          <w:iCs/>
          <w:sz w:val="28"/>
          <w:szCs w:val="28"/>
          <w:lang w:val="en-US"/>
        </w:rPr>
        <w:t>Convention:</w:t>
      </w:r>
      <w:r w:rsidRPr="00C32E8C">
        <w:rPr>
          <w:rFonts w:ascii="Times New Roman" w:hAnsi="Times New Roman" w:cs="Times New Roman"/>
          <w:bCs/>
          <w:iCs/>
          <w:sz w:val="28"/>
          <w:szCs w:val="28"/>
          <w:lang w:val="en-US"/>
        </w:rPr>
        <w:t xml:space="preserve"> </w:t>
      </w:r>
    </w:p>
    <w:p w:rsidR="0019441D" w:rsidRDefault="0019441D" w:rsidP="0019441D">
      <w:pPr>
        <w:pBdr>
          <w:top w:val="single" w:sz="4" w:space="1" w:color="auto"/>
          <w:left w:val="single" w:sz="4" w:space="4" w:color="auto"/>
          <w:bottom w:val="single" w:sz="4" w:space="1" w:color="auto"/>
          <w:right w:val="single" w:sz="4" w:space="4" w:color="auto"/>
        </w:pBdr>
        <w:jc w:val="center"/>
        <w:rPr>
          <w:rFonts w:ascii="Times New Roman" w:hAnsi="Times New Roman" w:cs="Times New Roman"/>
          <w:sz w:val="28"/>
          <w:szCs w:val="28"/>
          <w:lang w:val="en-US" w:eastAsia="ja-JP"/>
        </w:rPr>
      </w:pPr>
      <w:r w:rsidRPr="00782C45">
        <w:rPr>
          <w:rFonts w:ascii="Times New Roman" w:hAnsi="Times New Roman" w:cs="Times New Roman"/>
          <w:bCs/>
          <w:iCs/>
          <w:sz w:val="28"/>
          <w:szCs w:val="28"/>
          <w:lang w:val="en-US"/>
        </w:rPr>
        <w:t xml:space="preserve">ARTICLE </w:t>
      </w:r>
      <w:r>
        <w:rPr>
          <w:rFonts w:ascii="Times New Roman" w:hAnsi="Times New Roman" w:cs="Times New Roman"/>
          <w:bCs/>
          <w:iCs/>
          <w:sz w:val="28"/>
          <w:szCs w:val="28"/>
          <w:lang w:val="en-US"/>
        </w:rPr>
        <w:t>8</w:t>
      </w:r>
      <w:r w:rsidRPr="00782C45">
        <w:rPr>
          <w:rFonts w:ascii="Times New Roman" w:hAnsi="Times New Roman" w:cs="Times New Roman"/>
          <w:bCs/>
          <w:iCs/>
          <w:sz w:val="28"/>
          <w:szCs w:val="28"/>
          <w:lang w:val="en-US"/>
        </w:rPr>
        <w:t xml:space="preserve">– </w:t>
      </w:r>
      <w:r w:rsidRPr="000D72BC">
        <w:rPr>
          <w:rFonts w:ascii="Times New Roman" w:hAnsi="Times New Roman" w:cs="Times New Roman"/>
          <w:sz w:val="28"/>
          <w:szCs w:val="28"/>
          <w:lang w:val="en-US"/>
        </w:rPr>
        <w:t>DIVIDEND TRANSFER TRANSACTIONS</w:t>
      </w:r>
    </w:p>
    <w:p w:rsidR="0019441D" w:rsidRPr="000D72BC" w:rsidRDefault="0019441D" w:rsidP="0019441D">
      <w:pPr>
        <w:pBdr>
          <w:top w:val="single" w:sz="4" w:space="1" w:color="auto"/>
          <w:left w:val="single" w:sz="4" w:space="4" w:color="auto"/>
          <w:bottom w:val="single" w:sz="4" w:space="1" w:color="auto"/>
          <w:right w:val="single" w:sz="4" w:space="4" w:color="auto"/>
        </w:pBdr>
        <w:jc w:val="both"/>
        <w:rPr>
          <w:rFonts w:ascii="Times New Roman" w:hAnsi="Times New Roman" w:cs="Times New Roman"/>
          <w:sz w:val="28"/>
          <w:szCs w:val="28"/>
          <w:lang w:val="en-US"/>
        </w:rPr>
      </w:pPr>
      <w:r>
        <w:rPr>
          <w:rFonts w:ascii="Times New Roman" w:hAnsi="Times New Roman" w:cs="Times New Roman"/>
          <w:sz w:val="28"/>
          <w:szCs w:val="28"/>
          <w:lang w:val="en-US" w:eastAsia="ja-JP"/>
        </w:rPr>
        <w:t>Subparagraph a) of paragraph 2 of Article 10 of the Convention</w:t>
      </w:r>
      <w:r w:rsidRPr="000D72BC">
        <w:rPr>
          <w:rFonts w:ascii="Times New Roman" w:hAnsi="Times New Roman" w:cs="Times New Roman"/>
          <w:sz w:val="28"/>
          <w:szCs w:val="28"/>
          <w:lang w:val="en-US"/>
        </w:rPr>
        <w:t xml:space="preserve"> shall apply only if the ownership conditions described in th</w:t>
      </w:r>
      <w:r>
        <w:rPr>
          <w:rFonts w:ascii="Times New Roman" w:hAnsi="Times New Roman" w:cs="Times New Roman"/>
          <w:sz w:val="28"/>
          <w:szCs w:val="28"/>
          <w:lang w:val="en-US"/>
        </w:rPr>
        <w:t>at</w:t>
      </w:r>
      <w:r w:rsidRPr="000D72BC">
        <w:rPr>
          <w:rFonts w:ascii="Times New Roman" w:hAnsi="Times New Roman" w:cs="Times New Roman"/>
          <w:sz w:val="28"/>
          <w:szCs w:val="28"/>
          <w:lang w:val="en-US"/>
        </w:rPr>
        <w:t xml:space="preserve"> provision are met throughout a 365 day period that includes the day of the payment of the dividends (for the purpose of computing that period, no account shall be taken of changes of ownership that would directly result from a corporate reorganisation, such as a merger or divisive reorganisation, of the company that holds the shares or that pays the dividends).</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b) 15 per cent of the gross amount of the dividends in all other cases.</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This paragraph shall not affect the taxation of the company in respect of the profits out of which the dividends are paid.</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3. The term «dividends» as used in this Article means income from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lastRenderedPageBreak/>
        <w:t>4. The provisions of paragraphs 1 and 2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 personal services from a fixed base situated therein, and the holding in respect of which the dividends are paid is effectively connected with such permanent establishment or fixed base. In such case the provisions of Article 7 or Article 14, as the case may be, shall apply.</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5. 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6. Notwithstanding any other provisions of this Convention, where a company which is a resident of a Contracting State has a permanent establishment in the other Contracting State, the profits of the permanent establishment may be subjected to an additional tax in that other State in accordance with its law, but the additional tax so charged shall not exceed 5 per cent of the amount of such profits after deducting there from income tax imposed on income in that other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11</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INTEREST</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1. Interest arising in a Contracting State and paid to a resident of the other Contracting State may be taxed in that other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2. However, such interest may also be taxed in the Contracting State in which it arises and according to the laws of that State, but if the recipient is the beneficial owner of the interest the tax so charged shall not exceed 10 per cent of the gross amount of the interest.</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lastRenderedPageBreak/>
        <w:t>3. Notwithstanding the provisions of paragraph 2, interest arising- in a-Contracting State, derived and beneficially owned by the Government of the other Contracting State or the Central Bank (National Bank) or any financial institution wholly owned by that Government shall be exempt from tax in the first-mentioned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4. The term «interest» as used in this Article means income from debt-claims of every kind, whether or not secured by mortgage and whether or not carrying a right to participate in the debtor's profits, and in particular, income from government securities and income from bonds or debentures, including premiums and prizes attaching to such securities, bonds or debentures. Penalty charges for late payment shall not be regarded as interest for the purpose of this Article.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5. The provisions of paragraphs 1 and 2 shall not apply if the beneficial owner of the interest, being a resident of a Contracting State, carries on business in the other Contracting State in which the interest arises, through a permanent establishment situated therein, or performs in that other State independent personal services from a fixed base situated therein, and the debt-claim in respect of which the interest is paid is effectively connected with such permanent establishment or fixed base. In such case the provisions of Article 7 or Article 14, as the case may be, shall apply.</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6. Interest shall be deemed to arise in a Contracting State when the payer is that State itself, an administrative subdivision, a local authority or a resident of that State. Where, however, the person paying the interest, whether he is a resident of a Contracting State or not, has in a Contracting State a permanent establishment or a fixed base in connection with which the indebtedness on which the interest is paid was incurred, and such interest is borne by such permanent establishment or fixed base, then such interest shall be deemed to arise in the State in which the permanent establishment or fixed base is situated.</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7. Where, by reason of a special relationship between the payer and the beneficial owner or between both of them and some other person, the amount of the interest, having regard to the debt-claim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lastRenderedPageBreak/>
        <w:t>Article 12</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ROYALTIES</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1. Royalties arising in a Contracting State and paid to a resident of the other Contracting State may be taxed in that other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2. However, such royalties may also be taxed in the Contracting State in which they arise and according to the laws of that State, but if the recipient is the beneficial owner of the royalties the tax so charged shall not exceed 10 per cent of the gross amount of the royalties.</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3. The term «royalties» as used in this Article means payments of any kind received as a consideration for the use of, or the right to use, any copyright of literary, artistic or scientific work, cinematograph films and films or tapes for radio or television broadcasting and other means of image or sound reproduction, any patent, trade mark, design or model, plan, secret formula or process, software, or for information concerning industrial, commercial or scientific experience, and payments for the use of, or the right to use. industrial, commercial or scientific equipment.</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4. The provisions of paragraph 1 and 2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as the case may be, shall apply.</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5. Royalties shall be deemed to arise in a Contracting State when the payer is that State itself, an administrative subdivision, a local authority or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lastRenderedPageBreak/>
        <w:t>6. 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13</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CAPITAL GAINS</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1. Gains derived by a resident of a Contracting State from the alienation of immovable property referred to in Article 6 and situated in the other Contracting State may be taxed in that other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630D27"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xml:space="preserve">2. </w:t>
      </w:r>
      <w:r w:rsidR="00630D27" w:rsidRPr="00DE0DCE">
        <w:rPr>
          <w:rFonts w:ascii="Times New Roman" w:hAnsi="Times New Roman" w:cs="Times New Roman"/>
          <w:b/>
          <w:bCs/>
          <w:sz w:val="28"/>
          <w:szCs w:val="28"/>
          <w:lang w:val="en-US"/>
        </w:rPr>
        <w:t xml:space="preserve">[REPLACED by paragraph 4 of Article 9 of the </w:t>
      </w:r>
      <w:r w:rsidR="00630D27">
        <w:rPr>
          <w:rFonts w:ascii="Times New Roman" w:hAnsi="Times New Roman" w:cs="Times New Roman"/>
          <w:b/>
          <w:bCs/>
          <w:sz w:val="28"/>
          <w:szCs w:val="28"/>
          <w:lang w:val="en-US"/>
        </w:rPr>
        <w:t>MLI</w:t>
      </w:r>
      <w:r w:rsidR="00630D27" w:rsidRPr="00DE0DCE">
        <w:rPr>
          <w:rFonts w:ascii="Times New Roman" w:hAnsi="Times New Roman" w:cs="Times New Roman"/>
          <w:b/>
          <w:bCs/>
          <w:sz w:val="28"/>
          <w:szCs w:val="28"/>
          <w:lang w:val="en-US"/>
        </w:rPr>
        <w:t>]</w:t>
      </w:r>
      <w:r w:rsidR="00630D27">
        <w:rPr>
          <w:rFonts w:ascii="Times New Roman" w:hAnsi="Times New Roman" w:cs="Times New Roman"/>
          <w:b/>
          <w:bCs/>
          <w:sz w:val="28"/>
          <w:szCs w:val="28"/>
          <w:lang w:val="en-US"/>
        </w:rPr>
        <w:t xml:space="preserve"> </w:t>
      </w:r>
      <w:r w:rsidRPr="00630D27">
        <w:rPr>
          <w:rFonts w:ascii="Times New Roman" w:hAnsi="Times New Roman" w:cs="Times New Roman"/>
          <w:color w:val="000000"/>
          <w:sz w:val="28"/>
          <w:szCs w:val="28"/>
          <w:lang w:val="en-US"/>
        </w:rPr>
        <w:t>Gains derived by a resident of a Contracting State from the alienation of:</w:t>
      </w:r>
    </w:p>
    <w:p w:rsidR="008612E1" w:rsidRPr="00630D27" w:rsidRDefault="00576710">
      <w:pPr>
        <w:spacing w:after="0"/>
        <w:jc w:val="both"/>
        <w:rPr>
          <w:rFonts w:ascii="Times New Roman" w:hAnsi="Times New Roman" w:cs="Times New Roman"/>
          <w:sz w:val="28"/>
          <w:szCs w:val="28"/>
          <w:lang w:val="en-US"/>
        </w:rPr>
      </w:pPr>
      <w:r w:rsidRPr="00630D27">
        <w:rPr>
          <w:rFonts w:ascii="Times New Roman" w:hAnsi="Times New Roman" w:cs="Times New Roman"/>
          <w:color w:val="000000"/>
          <w:sz w:val="28"/>
          <w:szCs w:val="28"/>
          <w:lang w:val="en-US"/>
        </w:rPr>
        <w:t> a) shares of the capital stock of a company the value of which shares consists principally and directly or indirectly of real property situated in the other State, or</w:t>
      </w:r>
    </w:p>
    <w:p w:rsidR="008612E1" w:rsidRPr="00630D27" w:rsidRDefault="00576710">
      <w:pPr>
        <w:spacing w:after="0"/>
        <w:jc w:val="both"/>
        <w:rPr>
          <w:rFonts w:ascii="Times New Roman" w:hAnsi="Times New Roman" w:cs="Times New Roman"/>
          <w:sz w:val="28"/>
          <w:szCs w:val="28"/>
          <w:lang w:val="en-US"/>
        </w:rPr>
      </w:pPr>
      <w:r w:rsidRPr="00630D27">
        <w:rPr>
          <w:rFonts w:ascii="Times New Roman" w:hAnsi="Times New Roman" w:cs="Times New Roman"/>
          <w:color w:val="000000"/>
          <w:sz w:val="28"/>
          <w:szCs w:val="28"/>
          <w:lang w:val="en-US"/>
        </w:rPr>
        <w:t> </w:t>
      </w:r>
    </w:p>
    <w:p w:rsidR="008612E1" w:rsidRPr="00630D27" w:rsidRDefault="00576710">
      <w:pPr>
        <w:spacing w:after="0"/>
        <w:jc w:val="both"/>
        <w:rPr>
          <w:rFonts w:ascii="Times New Roman" w:hAnsi="Times New Roman" w:cs="Times New Roman"/>
          <w:color w:val="000000"/>
          <w:sz w:val="28"/>
          <w:szCs w:val="28"/>
          <w:lang w:val="en-US"/>
        </w:rPr>
      </w:pPr>
      <w:r w:rsidRPr="00630D27">
        <w:rPr>
          <w:rFonts w:ascii="Times New Roman" w:hAnsi="Times New Roman" w:cs="Times New Roman"/>
          <w:color w:val="000000"/>
          <w:sz w:val="28"/>
          <w:szCs w:val="28"/>
          <w:lang w:val="en-US"/>
        </w:rPr>
        <w:t>b) an interest in the assets of a partnership, trust or estate, the value of which interest consists principally and directly or indirectly of real property situated in the other State, or of shares referred to in sub-paragraph a) above, may be taxed in that other State.</w:t>
      </w:r>
    </w:p>
    <w:p w:rsidR="0019441D" w:rsidRPr="00EF0575" w:rsidRDefault="0019441D">
      <w:pPr>
        <w:spacing w:after="0"/>
        <w:jc w:val="both"/>
        <w:rPr>
          <w:rFonts w:ascii="Times New Roman" w:hAnsi="Times New Roman" w:cs="Times New Roman"/>
          <w:sz w:val="28"/>
          <w:szCs w:val="28"/>
          <w:lang w:val="en-US"/>
        </w:rPr>
      </w:pPr>
    </w:p>
    <w:p w:rsidR="0019441D" w:rsidRPr="00DE0DCE" w:rsidRDefault="00576710" w:rsidP="0019441D">
      <w:pPr>
        <w:widowControl w:val="0"/>
        <w:tabs>
          <w:tab w:val="left" w:pos="720"/>
          <w:tab w:val="left" w:pos="1440"/>
          <w:tab w:val="left" w:pos="2160"/>
          <w:tab w:val="left" w:pos="2880"/>
          <w:tab w:val="left" w:pos="3612"/>
          <w:tab w:val="center" w:pos="6237"/>
        </w:tabs>
        <w:overflowPunct w:val="0"/>
        <w:rPr>
          <w:rFonts w:ascii="Times New Roman" w:hAnsi="Times New Roman" w:cs="Times New Roman"/>
          <w:b/>
          <w:bCs/>
          <w:sz w:val="28"/>
          <w:szCs w:val="28"/>
          <w:lang w:val="en-US"/>
        </w:rPr>
      </w:pPr>
      <w:r w:rsidRPr="00EF0575">
        <w:rPr>
          <w:rFonts w:ascii="Times New Roman" w:hAnsi="Times New Roman" w:cs="Times New Roman"/>
          <w:color w:val="000000"/>
          <w:sz w:val="28"/>
          <w:szCs w:val="28"/>
          <w:lang w:val="en-US"/>
        </w:rPr>
        <w:t> </w:t>
      </w:r>
    </w:p>
    <w:p w:rsidR="0019441D" w:rsidRPr="00DE0DCE" w:rsidRDefault="0019441D" w:rsidP="0019441D">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jc w:val="both"/>
        <w:rPr>
          <w:rFonts w:ascii="Times New Roman" w:hAnsi="Times New Roman" w:cs="Times New Roman"/>
          <w:i/>
          <w:sz w:val="28"/>
          <w:szCs w:val="28"/>
          <w:lang w:val="en-US"/>
        </w:rPr>
      </w:pPr>
      <w:r w:rsidRPr="00DE0DCE">
        <w:rPr>
          <w:rFonts w:ascii="Times New Roman" w:hAnsi="Times New Roman" w:cs="Times New Roman"/>
          <w:i/>
          <w:sz w:val="28"/>
          <w:szCs w:val="28"/>
          <w:lang w:val="en-US"/>
        </w:rPr>
        <w:t xml:space="preserve">The following paragraph 4 of Article 9 of the </w:t>
      </w:r>
      <w:r>
        <w:rPr>
          <w:rFonts w:ascii="Times New Roman" w:hAnsi="Times New Roman" w:cs="Times New Roman"/>
          <w:i/>
          <w:sz w:val="28"/>
          <w:szCs w:val="28"/>
          <w:lang w:val="en-US"/>
        </w:rPr>
        <w:t xml:space="preserve">MLI </w:t>
      </w:r>
      <w:r w:rsidRPr="00DE0DCE">
        <w:rPr>
          <w:rFonts w:ascii="Times New Roman" w:hAnsi="Times New Roman" w:cs="Times New Roman"/>
          <w:i/>
          <w:sz w:val="28"/>
          <w:szCs w:val="28"/>
          <w:lang w:val="en-US"/>
        </w:rPr>
        <w:t xml:space="preserve">replaces paragraph </w:t>
      </w:r>
      <w:r>
        <w:rPr>
          <w:rFonts w:ascii="Times New Roman" w:hAnsi="Times New Roman" w:cs="Times New Roman"/>
          <w:i/>
          <w:sz w:val="28"/>
          <w:szCs w:val="28"/>
          <w:lang w:val="en-US"/>
        </w:rPr>
        <w:t>2</w:t>
      </w:r>
      <w:r w:rsidRPr="00DE0DCE">
        <w:rPr>
          <w:rFonts w:ascii="Times New Roman" w:hAnsi="Times New Roman" w:cs="Times New Roman"/>
          <w:i/>
          <w:sz w:val="28"/>
          <w:szCs w:val="28"/>
          <w:lang w:val="en-US"/>
        </w:rPr>
        <w:t xml:space="preserve"> of Article 13 of this Convention:</w:t>
      </w:r>
    </w:p>
    <w:p w:rsidR="0019441D" w:rsidRPr="00DE0DCE" w:rsidRDefault="0019441D" w:rsidP="0019441D">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jc w:val="center"/>
        <w:rPr>
          <w:rFonts w:ascii="Times New Roman" w:hAnsi="Times New Roman" w:cs="Times New Roman"/>
          <w:sz w:val="28"/>
          <w:szCs w:val="28"/>
          <w:lang w:val="en-US"/>
        </w:rPr>
      </w:pPr>
      <w:r w:rsidRPr="00DE0DCE">
        <w:rPr>
          <w:rFonts w:ascii="Times New Roman" w:hAnsi="Times New Roman" w:cs="Times New Roman"/>
          <w:sz w:val="28"/>
          <w:szCs w:val="28"/>
          <w:lang w:val="en-US"/>
        </w:rPr>
        <w:t>ARTICLE 9</w:t>
      </w:r>
      <w:r>
        <w:rPr>
          <w:rFonts w:ascii="Times New Roman" w:hAnsi="Times New Roman" w:cs="Times New Roman"/>
          <w:sz w:val="28"/>
          <w:szCs w:val="28"/>
          <w:lang w:val="en-US"/>
        </w:rPr>
        <w:t xml:space="preserve"> </w:t>
      </w:r>
      <w:r w:rsidRPr="00DE0DCE">
        <w:rPr>
          <w:rFonts w:ascii="Times New Roman" w:hAnsi="Times New Roman" w:cs="Times New Roman"/>
          <w:sz w:val="28"/>
          <w:szCs w:val="28"/>
          <w:lang w:val="en-US"/>
        </w:rPr>
        <w:t>– CAPITAL GAINS FROM ALIENATION OF SHARES OR INTERESTS OF ENTITIES DERIVING THEIR VALUE PRINCIPALLY FROM IMMOVABLE PROPERTY</w:t>
      </w:r>
    </w:p>
    <w:p w:rsidR="0019441D" w:rsidRPr="00DE0DCE" w:rsidRDefault="0019441D" w:rsidP="0019441D">
      <w:pPr>
        <w:widowControl w:val="0"/>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12"/>
          <w:tab w:val="center" w:pos="6237"/>
        </w:tabs>
        <w:overflowPunct w:val="0"/>
        <w:jc w:val="both"/>
        <w:rPr>
          <w:rFonts w:ascii="Times New Roman" w:eastAsia="MS Mincho" w:hAnsi="Times New Roman" w:cs="Times New Roman"/>
          <w:kern w:val="2"/>
          <w:sz w:val="28"/>
          <w:szCs w:val="28"/>
          <w:lang w:val="en-US" w:eastAsia="ja-JP"/>
        </w:rPr>
      </w:pPr>
      <w:r w:rsidRPr="00DE0DCE">
        <w:rPr>
          <w:rFonts w:ascii="Times New Roman" w:hAnsi="Times New Roman" w:cs="Times New Roman"/>
          <w:sz w:val="28"/>
          <w:szCs w:val="28"/>
          <w:lang w:val="en-US"/>
        </w:rPr>
        <w:t xml:space="preserve">For purposes of this Convention, gains derived by a resident of a Contracting State from the alienation of shares or comparable interests, such as interests in a partnership or trust, may be taxed in the other Contracting State if, at any time during the 365 days preceding the alienation, these shares or comparable interests </w:t>
      </w:r>
      <w:r w:rsidRPr="00DE0DCE">
        <w:rPr>
          <w:rFonts w:ascii="Times New Roman" w:hAnsi="Times New Roman" w:cs="Times New Roman"/>
          <w:sz w:val="28"/>
          <w:szCs w:val="28"/>
          <w:lang w:val="en-US"/>
        </w:rPr>
        <w:lastRenderedPageBreak/>
        <w:t>derived more than 50 per cent of their value directly or indirectly from immovable property situated in that other Contracting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3. Gains from the alienation of movable property forming part of the business property of a permanent establishment which an enterprise of a Contracting State has in the other Contracting State or of movable property pertaining to a fixed base available to a resident of a Contracting State in the other Contracting State for the purpose of performing independent personal services, including such gains from the alienation of such a permanent establishment (alone or with the whote enterprise) or of such fixed base, may be taxed in that other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4. Gains derived by a resident of a Contracting State from the alienation of ships, aircraft or road vehicle operated in international traffic, or movable property pertaining to the operation of such ships, aircraft or road vehicle, shall be taxable only in that Contracting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5. Gains from the alienation of any property other than that referred to in the preceding paragraphs of this Article, shall be taxable only in the Contracting State of which the alienator is a resident.</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14</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INDEPENDENT PERSONAL SERVICES</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1. Income derived by an individual who is a resident of a Contracting State in respect of professional services or other activities of an independent character shall be taxable only in that State except in the following circumstances when such income may also be taxed in the other Contracting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a) if he has a fixed base regularly available to him in the other Contracting State for the purposes of performing his activities; in that case, only so much of the income as is attributable to that fixed base; or</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b) if his stay in the other Contracting State is for a period or periods aggregating 183 days or more in any twelve months period commencing or ending in the tax year concerned; in that case only so much of the income as is derived from his activities performed in that other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lastRenderedPageBreak/>
        <w:t>2. The term «professional services» includes especially independent scientific, literary, artistic, educational or teaching activities as well as the independent activities of physicians, dentists, lawyers, engineers, architects and accountants.</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15</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DEPENDENT PERSONAL SERVICES</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1. Subject to the provisions of Articles 16, 18 and 19, salaries, wages and other similar remuneration derived by a resident of a Contracting State in respect of an employment shall be taxable only in that State unless the employment is exercised in the other Contracting State. If the employment is so exercised, such remuneration as is derived therefrom may be taxed in that other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2. Notwithstanding the provisions of paragraph 1, remuneration derived by a resident of a Contracting State in respect of an employment exercised in the other Contracting State shall be taxable only in the first-mentioned State if:</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a) the recipient is present in the other State for a period or periods not exceeding in the aggregate 183 days in any twelve month period commencing or ending in the fiscal year concerned, and</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b) the remuneration is paid by, or on behalf of, an employer who is not a resident of the other State, and</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c) the remuneration is not borne by a permanent establishment or a fixed base which the employer has in the other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3. Notwithstanding the preceding provisions of this Article, remuneration derived in respect of an employment exercised aboard a ship or aircraft operated in international traffic, may be taxed in the Contracting State in which the enterprise operating the ship or aircraft is a resident.</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16</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DIRECTORS' FEES</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xml:space="preserve">Directors' fees and other similar payments derived by a resident of a Contracting State in his capacity as a member of the board of directors or similar organ of a </w:t>
      </w:r>
      <w:r w:rsidRPr="00EF0575">
        <w:rPr>
          <w:rFonts w:ascii="Times New Roman" w:hAnsi="Times New Roman" w:cs="Times New Roman"/>
          <w:color w:val="000000"/>
          <w:sz w:val="28"/>
          <w:szCs w:val="28"/>
          <w:lang w:val="en-US"/>
        </w:rPr>
        <w:lastRenderedPageBreak/>
        <w:t>company which is a resident of the other Contracting State may be taxed in that other State.</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17</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ARTISTES AND SPORTSMEN</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1. Notwithstanding the provisions of Articles 14 and 15, income derived by a resident of a Contracting State as an entertainer, such as a theatre, motion picture, radio or television artiste, or a musician, or as a sportsman, from his personal activities as such exercised in the other Contracting State, may be taxed in that other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2. Where income in respect of personal activities exercised by an entertainer or a sportsman in his capacity as such accrues not to the entertainer or sportsman himself</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1 but to another person, that income may, notwithstanding the provisions of Articles 7, 14 and 15, be taxed in the Contracting State in which the activities of the entertainer or sportsman are exercised.</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3. The provisions of paragraphs 1 and 2 shall not apply to income derived from activities exercised in a Contracting State by an entertainer or a sportsman insofar as these activities conform to the purpose of a visit to that State wholly or mainly supported by public funds of the other Contracting State or a local authority or a statutory body thereof. In such case, the income is taxable only in the Contracting State in which the artiste or sportsman is a resident.</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18</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PENSIONS AND OTHER PAYMENTS</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1. Subject to the provisions of paragraph 2 of Article 19, pensions and other similar remuneration paid to a resident of a Contracting State in consideration of past employment and any annuity paid to such a resident shall be taxable only in that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xml:space="preserve">2. The term «annuity» means a stated sum payable to an individual periodically at stated times during his life or during a specified or ascertainable period of time </w:t>
      </w:r>
      <w:r w:rsidRPr="00EF0575">
        <w:rPr>
          <w:rFonts w:ascii="Times New Roman" w:hAnsi="Times New Roman" w:cs="Times New Roman"/>
          <w:color w:val="000000"/>
          <w:sz w:val="28"/>
          <w:szCs w:val="28"/>
          <w:lang w:val="en-US"/>
        </w:rPr>
        <w:lastRenderedPageBreak/>
        <w:t>under an obligation to make the payments in return for adequate and full consideration in money or money's worth.</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19</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GOVERNMENT SERVICE</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1. a) Salaries, wages and other similar remuneration, other than a pension, paid by a Contracting State or an administrative subdivision or a local authority thereof to an individual in respect of services rendered to that State or subdivision or authority shall be taxable only in that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b) However, such salaries, wages and other similar remuneration shall be taxable only in the other Contracting State if the services are rendered in that State and the individual is a resident of that State who:</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(i) is a national of that State; or</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(ii) did not become a resident of that State solely for the purpose of rendering the services.</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2. a) Any pension paid by, or out of funds created by, a Contracting State or an administrative subdivision or a local authority thereof to an individual in respect of services rendered to that State or subdivision or authority shall be taxable only in that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b) However, such pension shall be taxable only in the other Contracting State if the individual is a resident of, and a national of, that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3. The provisions of Articles 15, 16, 17, and 18 shall apply to salaries, wages and other similar remuneration and to pensions, in respect of services rendered in connection with a business carried on by a Contracting State or an administrative subdivision or a local authority thereof.</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20</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STUDENTS</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lastRenderedPageBreak/>
        <w:t>Payments which a student or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21</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OTHER INCOME</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1. Items of income of a resident of a Contracting State, wherever arising, not dealt with in the foregoing Articles of this Convention shall be taxable only in that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2. The provisions of paragraph 1 shall not apply to income, other than income from immovable property as defined in paragraph 2 of Article 6,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as the case may be, shall apply.</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22</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CAPITAL</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1. Capital represented by immovable property referred to in Article 6, owned by a resident of a Contracting State and situated in the other Contracting State, may be taxed in that other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2. Capital represented by movable property forming part of the business property of a permanent establishment which an enterprise of a Contracting State has in the other Contracting State or by movable property pertaining to a fixed base available to a resident of a Contracting State in the other Contracting State for the purpose of performing independent persona) services, may be taxed in that other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xml:space="preserve">3. Capital represented by the mean of transport operated by a resident of a Contracting State in international traffic, and by movable property pertaining to the </w:t>
      </w:r>
      <w:r w:rsidRPr="00EF0575">
        <w:rPr>
          <w:rFonts w:ascii="Times New Roman" w:hAnsi="Times New Roman" w:cs="Times New Roman"/>
          <w:color w:val="000000"/>
          <w:sz w:val="28"/>
          <w:szCs w:val="28"/>
          <w:lang w:val="en-US"/>
        </w:rPr>
        <w:lastRenderedPageBreak/>
        <w:t>operation of such means of transport, shall be taxable only in that Contracting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4. All other elements of capital of a resident of a Contracting State shall be taxable only in that State.</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23</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ELIMINATION OF DOUBLE TAXATION</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1. In the case of Kazakhstan, double taxation shall be avoided as follows:</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a) Where a resident of Kazakhstan derives income or owns capital which, in accordance with the provisions of this Convention, may be taxed in Slovakia, Kazakhstan shall allow:</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i) as a deduction from the tax on the income of that resident, an amount equal to the income tax paid in Slovakia;</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ii) as a deduction from the tax on the capital of that resident, an amount equal to the capital tax paid in Slovakia.</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The amount of the tax to be deducted pursuant to the above provision shall not exceed the tax which would have been charged on the same income in Kazakhstan under the rates applicable therein.</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b) Where a resident of Kazakhstan derives income or owns capital which in accordance with the provisions of this Convention shall be taxable only in Slovakia, Kazakhstan may include this income or capital in the tax base but only for purposes of determining the rate of tax on such other income or capital as is taxable in Kazakhstan.</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2. In the case of Slovakia, double taxation shall be avoided as follows:</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xml:space="preserve">Slovakia, when imposing taxes on its residents, may include in the tax base upon which such taxes are imposed the items of income or capital which according to the provisions of this Convention may also be taxed in Kazakhstan, but shall allow as </w:t>
      </w:r>
      <w:r w:rsidRPr="00EF0575">
        <w:rPr>
          <w:rFonts w:ascii="Times New Roman" w:hAnsi="Times New Roman" w:cs="Times New Roman"/>
          <w:color w:val="000000"/>
          <w:sz w:val="28"/>
          <w:szCs w:val="28"/>
        </w:rPr>
        <w:t>а</w:t>
      </w:r>
      <w:r w:rsidRPr="00EF0575">
        <w:rPr>
          <w:rFonts w:ascii="Times New Roman" w:hAnsi="Times New Roman" w:cs="Times New Roman"/>
          <w:color w:val="000000"/>
          <w:sz w:val="28"/>
          <w:szCs w:val="28"/>
          <w:lang w:val="en-US"/>
        </w:rPr>
        <w:t xml:space="preserve"> deduction from the amount of tax computed on such a base on amount equal to the tax paid in Kazakhstan. Such deduction shall not, however, exceed that part of </w:t>
      </w:r>
      <w:r w:rsidRPr="00EF0575">
        <w:rPr>
          <w:rFonts w:ascii="Times New Roman" w:hAnsi="Times New Roman" w:cs="Times New Roman"/>
          <w:color w:val="000000"/>
          <w:sz w:val="28"/>
          <w:szCs w:val="28"/>
          <w:lang w:val="en-US"/>
        </w:rPr>
        <w:lastRenderedPageBreak/>
        <w:t>the Slovak tax, as computed before the deduction is given, which is appropriate to the income or capital which, in accordance with the provisions of this Convention, may be taxed in Kazakhstan.</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3. Where in accordance with any provisions of the Convention income derived or capital owned by a resident of a Contracting State is exempt from tax in that State, such State may nevertheless, in calculating the amount of tax on the remaining income or capital of such resident, take into account the exempted income or capital.</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24</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NON-DISCRIMINATION</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1. Nationals of a Contracting State shall not be subjected in the other Contracting State to any taxation or any requirement connected therewith, which is other or more burdensome than the taxation and connected requirements to which nationals of that other State in the same circumstances, in particular with respect to residence, are or may be subjected. This provision shall, notwithstanding the provisions of Article 1, also apply to persons who are not residents of one or both of the Contracting States.</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2. The taxation on a permanent establishment which an enterprise of a Contracting State has in the other Contracting State shall not be less favourably levied in that other State than the taxation levied on enterprises of that other State carrying on the same activities. This provision shall not be construed as obliging a Contracting State to grant to residents of the other Contracting State any personal allowances, reliefs and reductions for taxation purposes on account of civil status or family responsibilities which it grants to its own residents.</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3. Except where the provisions of paragraph 1 of Article 9, paragraph 7 of Article 11, or paragraph 6 of Article 12, apply, interest, royalties and other disbursements paid by an enterprise of a Contracting State to a resident of the other Contracting State shall, for the purpose of determining the taxable profits of such enterprise, be deductible under the same conditions as if they had been paid to a resident of the first-mentioned State. Similarly, any debts of an enterprise of a Contracting State to a resident of the other Contracting State shall, for the purpose of determining the taxable capital of such enterprise, be deductible under the same conditions as if they had been contracted to a resident of the first-mentioned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lastRenderedPageBreak/>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4. Enterprises of a Contracting State, the capital of which is wholly or partly owned or controlled, directly or indirectly, by one or more residents of the other Contracting State, shall not be subjected in the first-mentioned State to any taxation or any requirement connected therewith which is other or more burdensome than the "taxation and connected requirements to which other similar enterprises of the first-mentioned State are or may be subjected.</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25</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MUTUAL AGREEMENT PROCEDURE</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1. 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or, if his case comes under paragraph 1 of Article 24, to that of the Contracting State of which he is a national. The case must be presented within three years from the first notification of the action resulting in taxation not in accordance with the provisions of the Convention.</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2. The competent authority shall endeavour,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the Convention. Any agreement reached shall be implemented notwithstanding any time limits in the domestic law of the Contracting States.</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3. The competent authorities of the Contracting States shall endeavour to resolve by mutual agreement any difficulties or doubts arising as to the interpretation or application of the Convention. They may also consult together for the elimination of double taxation in cases not provided for in the Convention.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4. The competent authorities of the Contracting States may communicate with each other directly, including through a joint commission consisting of themselves or their representatives, for the purpose of reaching an agreement in the sense of the preceding paragraphs.</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lastRenderedPageBreak/>
        <w:t>Article 26</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EXCHANGE OF INFORMATION</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1. The competent authorities of the Contracting States shall exchange such information as is necessary for carrying out the provisions of this Convention or of the domestic laws of the Contracting States concerning taxes covered by the Convention insofar as the taxation thereunder is not contrary to the Convention. The exchange of information is not restricted by Article 1. Any information received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or the determination of appeals in relation to, the taxes covered by the Convention. Such persons or authorities shall use the information only for such purposes. They may disclose the information in public court proceedings or in judicial decisions.</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2. In no case shall the provisions of paragraph 1 be construed so as to impose on a Contracting State the obligation:</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a) to carry out administrative measures at variance with the laws and administrative practice of that or of the other Contracting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b) to supply information which is not obtainable under the laws or in the normal course of the administration of that or of the other Contracting State;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c) to supply information which would disclose any trade, business, industrial, commercial or professional secret or trade process, or information, the disclosure of which would be contrary to public policy (ordre public).</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27</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MEMBERS OF DIPLOMATIC MISSIONS AND CONSULAR POSTS</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Nothing in this Convention shall affect the fiscal privileges of members of diplomatic missions or consular posts under the general rules of international law or under the provisions of special agreements.</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630D27"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tbl>
      <w:tblPr>
        <w:tblStyle w:val="aa"/>
        <w:tblW w:w="0" w:type="auto"/>
        <w:tblLook w:val="04A0" w:firstRow="1" w:lastRow="0" w:firstColumn="1" w:lastColumn="0" w:noHBand="0" w:noVBand="1"/>
      </w:tblPr>
      <w:tblGrid>
        <w:gridCol w:w="9345"/>
      </w:tblGrid>
      <w:tr w:rsidR="00630D27" w:rsidRPr="00D57D21" w:rsidTr="00E628DE">
        <w:tc>
          <w:tcPr>
            <w:tcW w:w="9345" w:type="dxa"/>
          </w:tcPr>
          <w:p w:rsidR="00630D27" w:rsidRPr="00BF0409" w:rsidRDefault="00630D27" w:rsidP="00630D27">
            <w:pPr>
              <w:jc w:val="both"/>
              <w:rPr>
                <w:rFonts w:ascii="Times New Roman" w:hAnsi="Times New Roman" w:cs="Times New Roman"/>
                <w:i/>
                <w:sz w:val="28"/>
                <w:szCs w:val="28"/>
                <w:lang w:val="en-US"/>
              </w:rPr>
            </w:pPr>
            <w:r w:rsidRPr="00BF0409">
              <w:rPr>
                <w:rFonts w:ascii="Times New Roman" w:hAnsi="Times New Roman" w:cs="Times New Roman"/>
                <w:i/>
                <w:sz w:val="28"/>
                <w:szCs w:val="28"/>
                <w:lang w:val="en-US"/>
              </w:rPr>
              <w:lastRenderedPageBreak/>
              <w:t>The following paragraphs 8 through 13 of Article 7 of the MLI apply and supersede the provisions of this Convention:</w:t>
            </w:r>
          </w:p>
          <w:p w:rsidR="00630D27" w:rsidRPr="00BF0409" w:rsidRDefault="00630D27" w:rsidP="00630D27">
            <w:pPr>
              <w:jc w:val="both"/>
              <w:rPr>
                <w:rFonts w:ascii="Times New Roman" w:hAnsi="Times New Roman" w:cs="Times New Roman"/>
                <w:sz w:val="28"/>
                <w:szCs w:val="28"/>
                <w:lang w:val="en-US"/>
              </w:rPr>
            </w:pPr>
          </w:p>
          <w:p w:rsidR="00630D27" w:rsidRPr="00BF0409" w:rsidRDefault="00630D27" w:rsidP="00E628DE">
            <w:pPr>
              <w:jc w:val="center"/>
              <w:rPr>
                <w:rFonts w:ascii="Times New Roman" w:hAnsi="Times New Roman" w:cs="Times New Roman"/>
                <w:sz w:val="28"/>
                <w:szCs w:val="28"/>
                <w:lang w:val="en-US"/>
              </w:rPr>
            </w:pPr>
            <w:r w:rsidRPr="00BF0409">
              <w:rPr>
                <w:rFonts w:ascii="Times New Roman" w:hAnsi="Times New Roman" w:cs="Times New Roman"/>
                <w:sz w:val="28"/>
                <w:szCs w:val="28"/>
                <w:lang w:val="en-US"/>
              </w:rPr>
              <w:t>ARTICLE 7– PREVENTION OF TREATY ABUSE</w:t>
            </w:r>
          </w:p>
          <w:p w:rsidR="00630D27" w:rsidRPr="00BF0409" w:rsidRDefault="00630D27" w:rsidP="00E628DE">
            <w:pPr>
              <w:jc w:val="center"/>
              <w:rPr>
                <w:rFonts w:ascii="Times New Roman" w:hAnsi="Times New Roman" w:cs="Times New Roman"/>
                <w:sz w:val="28"/>
                <w:szCs w:val="28"/>
                <w:lang w:val="en-US"/>
              </w:rPr>
            </w:pPr>
            <w:r w:rsidRPr="00BF0409">
              <w:rPr>
                <w:rFonts w:ascii="Times New Roman" w:hAnsi="Times New Roman" w:cs="Times New Roman"/>
                <w:sz w:val="28"/>
                <w:szCs w:val="28"/>
                <w:lang w:val="en-US"/>
              </w:rPr>
              <w:t>(</w:t>
            </w:r>
            <w:r w:rsidRPr="00BF0409">
              <w:rPr>
                <w:rFonts w:ascii="Times New Roman" w:hAnsi="Times New Roman" w:cs="Times New Roman"/>
                <w:i/>
                <w:sz w:val="28"/>
                <w:szCs w:val="28"/>
                <w:lang w:val="en-US"/>
              </w:rPr>
              <w:t>Simplified Limitation on Benefits Provision</w:t>
            </w:r>
            <w:r w:rsidRPr="00BF0409">
              <w:rPr>
                <w:rFonts w:ascii="Times New Roman" w:hAnsi="Times New Roman" w:cs="Times New Roman"/>
                <w:sz w:val="28"/>
                <w:szCs w:val="28"/>
                <w:lang w:val="en-US"/>
              </w:rPr>
              <w:t>)</w:t>
            </w:r>
          </w:p>
          <w:p w:rsidR="00630D27" w:rsidRPr="00BF0409" w:rsidRDefault="00630D27" w:rsidP="00E628DE">
            <w:pPr>
              <w:rPr>
                <w:rFonts w:ascii="Times New Roman" w:hAnsi="Times New Roman" w:cs="Times New Roman"/>
                <w:sz w:val="28"/>
                <w:szCs w:val="28"/>
                <w:lang w:val="en-US"/>
              </w:rPr>
            </w:pPr>
          </w:p>
          <w:p w:rsidR="00630D27" w:rsidRPr="00BF0409" w:rsidRDefault="00630D27" w:rsidP="00E628DE">
            <w:pPr>
              <w:rPr>
                <w:rFonts w:ascii="Times New Roman" w:hAnsi="Times New Roman" w:cs="Times New Roman"/>
                <w:i/>
                <w:sz w:val="28"/>
                <w:szCs w:val="28"/>
                <w:lang w:val="en-US"/>
              </w:rPr>
            </w:pPr>
            <w:r w:rsidRPr="00BF0409">
              <w:rPr>
                <w:rFonts w:ascii="Times New Roman" w:hAnsi="Times New Roman" w:cs="Times New Roman"/>
                <w:i/>
                <w:sz w:val="28"/>
                <w:szCs w:val="28"/>
                <w:lang w:val="en-US"/>
              </w:rPr>
              <w:t xml:space="preserve">Paragraph 8 of Article 7 of the MLI </w:t>
            </w:r>
          </w:p>
          <w:p w:rsidR="00630D27" w:rsidRPr="00BF0409" w:rsidRDefault="00630D27" w:rsidP="00E628DE">
            <w:pPr>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Except as otherwise provided in the Simplified Limitation on Benefits Provision, a resident of a Contracting State shall not be entitled to a benefit that would otherwise be accorded by this Convention, other than a benefit under paragraph 3 of Article </w:t>
            </w:r>
            <w:r w:rsidRPr="00FA1C25">
              <w:rPr>
                <w:rFonts w:ascii="Times New Roman" w:hAnsi="Times New Roman" w:cs="Times New Roman"/>
                <w:sz w:val="28"/>
                <w:szCs w:val="28"/>
                <w:lang w:val="en-US"/>
              </w:rPr>
              <w:t>4 of this Convention as modified by paragraph 1 of Article 4 of the MLI</w:t>
            </w:r>
            <w:r w:rsidRPr="00BF0409">
              <w:rPr>
                <w:rFonts w:ascii="Times New Roman" w:hAnsi="Times New Roman" w:cs="Times New Roman"/>
                <w:sz w:val="28"/>
                <w:szCs w:val="28"/>
                <w:lang w:val="en-US"/>
              </w:rPr>
              <w:t xml:space="preserve">, paragraph 2 of Article 9 or Article 25 of this Convention, unless such resident is a “qualified person”, as defined in paragraph 9 of Article 7 of the MLI at the time that the benefit would be accorded. </w:t>
            </w:r>
          </w:p>
          <w:p w:rsidR="00630D27" w:rsidRPr="00BF0409" w:rsidRDefault="00630D27" w:rsidP="00E628DE">
            <w:pPr>
              <w:rPr>
                <w:rFonts w:ascii="Times New Roman" w:hAnsi="Times New Roman" w:cs="Times New Roman"/>
                <w:sz w:val="28"/>
                <w:szCs w:val="28"/>
                <w:lang w:val="en-US"/>
              </w:rPr>
            </w:pPr>
          </w:p>
          <w:p w:rsidR="00630D27" w:rsidRPr="00BF0409" w:rsidRDefault="00630D27" w:rsidP="00E628DE">
            <w:pPr>
              <w:rPr>
                <w:rFonts w:ascii="Times New Roman" w:hAnsi="Times New Roman" w:cs="Times New Roman"/>
                <w:i/>
                <w:sz w:val="28"/>
                <w:szCs w:val="28"/>
                <w:lang w:val="en-US"/>
              </w:rPr>
            </w:pPr>
            <w:r w:rsidRPr="00BF0409">
              <w:rPr>
                <w:rFonts w:ascii="Times New Roman" w:hAnsi="Times New Roman" w:cs="Times New Roman"/>
                <w:i/>
                <w:sz w:val="28"/>
                <w:szCs w:val="28"/>
                <w:lang w:val="en-US"/>
              </w:rPr>
              <w:t xml:space="preserve">Paragraph 9 of Article 7 of the MLI </w:t>
            </w:r>
          </w:p>
          <w:p w:rsidR="00630D27" w:rsidRPr="00BF0409" w:rsidRDefault="00630D27" w:rsidP="00E628DE">
            <w:pPr>
              <w:jc w:val="both"/>
              <w:rPr>
                <w:rFonts w:ascii="Times New Roman" w:hAnsi="Times New Roman" w:cs="Times New Roman"/>
                <w:sz w:val="28"/>
                <w:szCs w:val="28"/>
                <w:lang w:val="en-US"/>
              </w:rPr>
            </w:pPr>
          </w:p>
          <w:p w:rsidR="00630D27" w:rsidRPr="00BF0409" w:rsidRDefault="00630D27" w:rsidP="00E628DE">
            <w:pPr>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A resident of a Contracting State shall be a qualified person at a time when a benefit would otherwise be accorded by the Convention if, at that time, the resident is: </w:t>
            </w:r>
          </w:p>
          <w:p w:rsidR="00630D27" w:rsidRPr="00BF0409" w:rsidRDefault="00630D27" w:rsidP="00E628DE">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a) an individual; </w:t>
            </w:r>
          </w:p>
          <w:p w:rsidR="00630D27" w:rsidRPr="00BF0409" w:rsidRDefault="00630D27" w:rsidP="00E628DE">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b) that Contracting State, or a political subdivision or local authority thereof, or an agency or instrumentality of any such Contracting State, political subdivision or local authority; </w:t>
            </w:r>
          </w:p>
          <w:p w:rsidR="00630D27" w:rsidRPr="00BF0409" w:rsidRDefault="00630D27" w:rsidP="00E628DE">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c) a company or other entity, if the principal class of its shares is regularly traded on one or more recognised stock exchanges; </w:t>
            </w:r>
          </w:p>
          <w:p w:rsidR="00630D27" w:rsidRPr="00BF0409" w:rsidRDefault="00630D27" w:rsidP="00E628DE">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d) a person, other than an individual, that: </w:t>
            </w:r>
          </w:p>
          <w:p w:rsidR="00630D27" w:rsidRPr="00BF0409" w:rsidRDefault="00630D27" w:rsidP="00E628DE">
            <w:pPr>
              <w:ind w:left="1163" w:hanging="567"/>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       i) is a non-profit organisation of a type that is agreed to by the     Contracting States through an exchange of diplomatic notes; or </w:t>
            </w:r>
          </w:p>
          <w:p w:rsidR="00630D27" w:rsidRPr="00BF0409" w:rsidRDefault="00630D27" w:rsidP="00E628DE">
            <w:pPr>
              <w:ind w:left="1021" w:hanging="425"/>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       ii) is an entity or arrangement established in that Contracting State that is treated as a separate person under the taxation laws of that Contracting State and: </w:t>
            </w:r>
          </w:p>
          <w:p w:rsidR="00630D27" w:rsidRPr="00BF0409" w:rsidRDefault="00630D27" w:rsidP="00E628DE">
            <w:pPr>
              <w:ind w:left="1021" w:firstLine="284"/>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A) that is established and operated exclusively or almost exclusively to administer or provide retirement benefits and ancillary or incidental benefits to individuals and that is regulated as such by that Contracting State or one of its political subdivisions or local authorities; or </w:t>
            </w:r>
          </w:p>
          <w:p w:rsidR="00630D27" w:rsidRPr="00BF0409" w:rsidRDefault="00630D27" w:rsidP="00E628DE">
            <w:pPr>
              <w:ind w:left="1021" w:firstLine="284"/>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B) that is established and operated exclusively or almost exclusively to invest funds for the benefit of entities or arrangements referred to in subdivision A); </w:t>
            </w:r>
          </w:p>
          <w:p w:rsidR="00630D27" w:rsidRPr="00BF0409" w:rsidRDefault="00630D27" w:rsidP="00E628DE">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e) a person other than an individual, if, on at least half the days of a twelve-month period that includes the time when the benefit would otherwise be accorded, persons who are residents of that Contracting State and that are entitled to benefits of the Convention under subparagraphs a) to d) own, directly or indirectly, at least 50 per cent of the shares of the person. </w:t>
            </w:r>
          </w:p>
          <w:p w:rsidR="00630D27" w:rsidRPr="00BF0409" w:rsidRDefault="00630D27" w:rsidP="00E628DE">
            <w:pPr>
              <w:ind w:left="596"/>
              <w:rPr>
                <w:rFonts w:ascii="Times New Roman" w:hAnsi="Times New Roman" w:cs="Times New Roman"/>
                <w:sz w:val="28"/>
                <w:szCs w:val="28"/>
                <w:lang w:val="en-US"/>
              </w:rPr>
            </w:pPr>
          </w:p>
          <w:p w:rsidR="00630D27" w:rsidRPr="00BF0409" w:rsidRDefault="00630D27" w:rsidP="00E628DE">
            <w:pPr>
              <w:ind w:left="596"/>
              <w:rPr>
                <w:rFonts w:ascii="Times New Roman" w:hAnsi="Times New Roman" w:cs="Times New Roman"/>
                <w:i/>
                <w:sz w:val="28"/>
                <w:szCs w:val="28"/>
                <w:lang w:val="en-US"/>
              </w:rPr>
            </w:pPr>
          </w:p>
          <w:p w:rsidR="00630D27" w:rsidRPr="00BF0409" w:rsidRDefault="00630D27" w:rsidP="00E628DE">
            <w:pPr>
              <w:ind w:left="596"/>
              <w:rPr>
                <w:rFonts w:ascii="Times New Roman" w:hAnsi="Times New Roman" w:cs="Times New Roman"/>
                <w:i/>
                <w:sz w:val="28"/>
                <w:szCs w:val="28"/>
                <w:lang w:val="en-US"/>
              </w:rPr>
            </w:pPr>
            <w:r w:rsidRPr="00BF0409">
              <w:rPr>
                <w:rFonts w:ascii="Times New Roman" w:hAnsi="Times New Roman" w:cs="Times New Roman"/>
                <w:i/>
                <w:sz w:val="28"/>
                <w:szCs w:val="28"/>
                <w:lang w:val="en-US"/>
              </w:rPr>
              <w:t xml:space="preserve">Paragraph 10 of Article 7 of the MLI </w:t>
            </w:r>
          </w:p>
          <w:p w:rsidR="00630D27" w:rsidRPr="00BF0409" w:rsidRDefault="00630D27" w:rsidP="00E628DE">
            <w:pPr>
              <w:ind w:left="596"/>
              <w:rPr>
                <w:rFonts w:ascii="Times New Roman" w:hAnsi="Times New Roman" w:cs="Times New Roman"/>
                <w:i/>
                <w:sz w:val="28"/>
                <w:szCs w:val="28"/>
                <w:lang w:val="en-US"/>
              </w:rPr>
            </w:pPr>
          </w:p>
          <w:p w:rsidR="00630D27" w:rsidRPr="00BF0409" w:rsidRDefault="00630D27" w:rsidP="00E628DE">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a) A resident of a Contracting State will be entitled to benefits of the Convention with respect to an item of income derived from the other Contracting State, regardless of whether the resident is a qualified person, if the resident is engaged in the active conduct of a business in the first-mentioned Contracting State, and the income derived from the other Contracting State emanates from, or is incidental to, that business. For purposes of the Simplified Limitation on Benefits Provision, the term “active conduct of a business” shall not include the following activities or any combination thereof:</w:t>
            </w:r>
          </w:p>
          <w:p w:rsidR="00630D27" w:rsidRPr="00BF0409" w:rsidRDefault="00630D27" w:rsidP="00E628DE">
            <w:pPr>
              <w:ind w:left="880"/>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 i) operating as a holding company; </w:t>
            </w:r>
          </w:p>
          <w:p w:rsidR="00630D27" w:rsidRPr="00BF0409" w:rsidRDefault="00630D27" w:rsidP="00E628DE">
            <w:pPr>
              <w:ind w:left="880"/>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ii) providing overall supervision or administration of a group of companies; </w:t>
            </w:r>
          </w:p>
          <w:p w:rsidR="00630D27" w:rsidRPr="00BF0409" w:rsidRDefault="00630D27" w:rsidP="00E628DE">
            <w:pPr>
              <w:ind w:left="880"/>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iii) providing group financing (including cash pooling); or</w:t>
            </w:r>
          </w:p>
          <w:p w:rsidR="00630D27" w:rsidRPr="00BF0409" w:rsidRDefault="00630D27" w:rsidP="00E628DE">
            <w:pPr>
              <w:ind w:left="880"/>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 iv) making or managing investments, unless these activities are carried on by a bank, insurance company or registered securities dealer in the ordinary course of its business as such. </w:t>
            </w:r>
          </w:p>
          <w:p w:rsidR="00630D27" w:rsidRPr="00BF0409" w:rsidRDefault="00630D27" w:rsidP="00E628DE">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b) If a resident of a Contracting State derives an item of income from a business activity conducted by that resident in the other Contracting State, or derives an item of income arising in the other Contracting State from a connected person, the conditions described in subparagraph a) shall be considered to be satisfied with respect to such item only if the business activity carried on by the resident in the first-mentioned Contracting State to which the item is related is substantial in relation to the same activity or a complementary business activity carried on by the resident or such connected person in the other Contracting State. Whether a business activity is substantial for the purposes of this subparagraph shall be determined based on all the facts and circumstances. </w:t>
            </w:r>
          </w:p>
          <w:p w:rsidR="00630D27" w:rsidRPr="00BF0409" w:rsidRDefault="00630D27" w:rsidP="00E628DE">
            <w:pPr>
              <w:ind w:left="596"/>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c) For purposes of applying this paragraph, activities conducted by connected persons with respect to a resident of a Contracting State shall be deemed to be conducted by such resident. </w:t>
            </w:r>
          </w:p>
          <w:p w:rsidR="00630D27" w:rsidRPr="00BF0409" w:rsidRDefault="00630D27" w:rsidP="00E628DE">
            <w:pPr>
              <w:ind w:left="596"/>
              <w:rPr>
                <w:rFonts w:ascii="Times New Roman" w:hAnsi="Times New Roman" w:cs="Times New Roman"/>
                <w:sz w:val="28"/>
                <w:szCs w:val="28"/>
                <w:lang w:val="en-US"/>
              </w:rPr>
            </w:pPr>
          </w:p>
          <w:p w:rsidR="00630D27" w:rsidRPr="00BF0409" w:rsidRDefault="00630D27" w:rsidP="00E628DE">
            <w:pPr>
              <w:ind w:left="596"/>
              <w:rPr>
                <w:rFonts w:ascii="Times New Roman" w:hAnsi="Times New Roman" w:cs="Times New Roman"/>
                <w:i/>
                <w:sz w:val="28"/>
                <w:szCs w:val="28"/>
                <w:lang w:val="en-US"/>
              </w:rPr>
            </w:pPr>
            <w:r w:rsidRPr="00BF0409">
              <w:rPr>
                <w:rFonts w:ascii="Times New Roman" w:hAnsi="Times New Roman" w:cs="Times New Roman"/>
                <w:i/>
                <w:sz w:val="28"/>
                <w:szCs w:val="28"/>
                <w:lang w:val="en-US"/>
              </w:rPr>
              <w:t xml:space="preserve">Paragraph 11 of Article 7 of the MLI </w:t>
            </w:r>
          </w:p>
          <w:p w:rsidR="00630D27" w:rsidRPr="00BF0409" w:rsidRDefault="00630D27" w:rsidP="00E628DE">
            <w:pPr>
              <w:ind w:left="596"/>
              <w:rPr>
                <w:rFonts w:ascii="Times New Roman" w:hAnsi="Times New Roman" w:cs="Times New Roman"/>
                <w:sz w:val="28"/>
                <w:szCs w:val="28"/>
                <w:lang w:val="en-US"/>
              </w:rPr>
            </w:pPr>
          </w:p>
          <w:p w:rsidR="00630D27" w:rsidRPr="00BF0409" w:rsidRDefault="00630D27" w:rsidP="00E628DE">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A resident of a Contracting State that is not a qualified person shall also be entitled to a benefit that would otherwise be accorded by the Convention with respect to an item of income if, on at least half of the days of any twelve-month period that includes the time when the benefit would otherwise be accorded, persons that are equivalent beneficiaries own, directly or indirectly, at least 75 per cent of the beneficial interests of the resident. </w:t>
            </w:r>
          </w:p>
          <w:p w:rsidR="00630D27" w:rsidRPr="00BF0409" w:rsidRDefault="00630D27" w:rsidP="00E628DE">
            <w:pPr>
              <w:ind w:left="596"/>
              <w:rPr>
                <w:rFonts w:ascii="Times New Roman" w:hAnsi="Times New Roman" w:cs="Times New Roman"/>
                <w:sz w:val="28"/>
                <w:szCs w:val="28"/>
                <w:lang w:val="en-US"/>
              </w:rPr>
            </w:pPr>
          </w:p>
          <w:p w:rsidR="00630D27" w:rsidRPr="00BF0409" w:rsidRDefault="00630D27" w:rsidP="00E628DE">
            <w:pPr>
              <w:ind w:left="596"/>
              <w:rPr>
                <w:rFonts w:ascii="Times New Roman" w:hAnsi="Times New Roman" w:cs="Times New Roman"/>
                <w:i/>
                <w:sz w:val="28"/>
                <w:szCs w:val="28"/>
                <w:lang w:val="en-US"/>
              </w:rPr>
            </w:pPr>
          </w:p>
          <w:p w:rsidR="00630D27" w:rsidRPr="00BF0409" w:rsidRDefault="00630D27" w:rsidP="00E628DE">
            <w:pPr>
              <w:ind w:left="596"/>
              <w:rPr>
                <w:rFonts w:ascii="Times New Roman" w:hAnsi="Times New Roman" w:cs="Times New Roman"/>
                <w:i/>
                <w:sz w:val="28"/>
                <w:szCs w:val="28"/>
                <w:lang w:val="en-US"/>
              </w:rPr>
            </w:pPr>
          </w:p>
          <w:p w:rsidR="00630D27" w:rsidRPr="00BF0409" w:rsidRDefault="00630D27" w:rsidP="00E628DE">
            <w:pPr>
              <w:ind w:left="596"/>
              <w:rPr>
                <w:rFonts w:ascii="Times New Roman" w:hAnsi="Times New Roman" w:cs="Times New Roman"/>
                <w:i/>
                <w:sz w:val="28"/>
                <w:szCs w:val="28"/>
                <w:lang w:val="en-US"/>
              </w:rPr>
            </w:pPr>
            <w:r w:rsidRPr="00BF0409">
              <w:rPr>
                <w:rFonts w:ascii="Times New Roman" w:hAnsi="Times New Roman" w:cs="Times New Roman"/>
                <w:i/>
                <w:sz w:val="28"/>
                <w:szCs w:val="28"/>
                <w:lang w:val="en-US"/>
              </w:rPr>
              <w:t xml:space="preserve">Paragraph 12 of Article 7 of the MLI </w:t>
            </w:r>
          </w:p>
          <w:p w:rsidR="00630D27" w:rsidRPr="00BF0409" w:rsidRDefault="00630D27" w:rsidP="00E628DE">
            <w:pPr>
              <w:ind w:left="596"/>
              <w:rPr>
                <w:rFonts w:ascii="Times New Roman" w:hAnsi="Times New Roman" w:cs="Times New Roman"/>
                <w:sz w:val="28"/>
                <w:szCs w:val="28"/>
                <w:lang w:val="en-US"/>
              </w:rPr>
            </w:pPr>
          </w:p>
          <w:p w:rsidR="00630D27" w:rsidRPr="00BF0409" w:rsidRDefault="00630D27" w:rsidP="00E628DE">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If a resident of a Contracting State is neither a qualified person pursuant to the provisions of paragraph 9 of Article 7 of the MLI, nor entitled to benefits under paragraph 10 or 11 of Article 7 of the MLI, the competent authority of the other Contracting State may, nevertheless, grant the benefits of the Convention, or benefits with respect to a specific item of income, taking into account the object and purpose of the Convention, but only if such resident demonstrates to the satisfaction of such competent authority that neither its establishment, acquisition or maintenance, nor the conduct of its operations, had as one of its principal purposes the obtaining of benefits under [the Convention]. Before either granting or denying a request made under this paragraph by a resident of a Contracting State, the competent authority of the other Contracting State to which the request has been made shall consult with the competent authority of the first-mentioned Contracting State. </w:t>
            </w:r>
          </w:p>
          <w:p w:rsidR="00630D27" w:rsidRPr="00BF0409" w:rsidRDefault="00630D27" w:rsidP="00E628DE">
            <w:pPr>
              <w:ind w:left="596"/>
              <w:jc w:val="both"/>
              <w:rPr>
                <w:rFonts w:ascii="Times New Roman" w:hAnsi="Times New Roman" w:cs="Times New Roman"/>
                <w:sz w:val="28"/>
                <w:szCs w:val="28"/>
                <w:lang w:val="en-US"/>
              </w:rPr>
            </w:pPr>
          </w:p>
          <w:p w:rsidR="00630D27" w:rsidRPr="00BF0409" w:rsidRDefault="00630D27" w:rsidP="00E628DE">
            <w:pPr>
              <w:ind w:left="596"/>
              <w:rPr>
                <w:rFonts w:ascii="Times New Roman" w:hAnsi="Times New Roman" w:cs="Times New Roman"/>
                <w:i/>
                <w:sz w:val="28"/>
                <w:szCs w:val="28"/>
                <w:lang w:val="en-US"/>
              </w:rPr>
            </w:pPr>
            <w:r w:rsidRPr="00BF0409">
              <w:rPr>
                <w:rFonts w:ascii="Times New Roman" w:hAnsi="Times New Roman" w:cs="Times New Roman"/>
                <w:i/>
                <w:sz w:val="28"/>
                <w:szCs w:val="28"/>
                <w:lang w:val="en-US"/>
              </w:rPr>
              <w:t>Paragraph 13 of Article 7 of the MLI</w:t>
            </w:r>
          </w:p>
          <w:p w:rsidR="00630D27" w:rsidRPr="00BF0409" w:rsidRDefault="00630D27" w:rsidP="00E628DE">
            <w:pPr>
              <w:ind w:left="596"/>
              <w:rPr>
                <w:rFonts w:ascii="Times New Roman" w:hAnsi="Times New Roman" w:cs="Times New Roman"/>
                <w:sz w:val="28"/>
                <w:szCs w:val="28"/>
                <w:lang w:val="en-US"/>
              </w:rPr>
            </w:pPr>
          </w:p>
          <w:p w:rsidR="00630D27" w:rsidRPr="00BF0409" w:rsidRDefault="00630D27" w:rsidP="00E628DE">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 For the purposes of the Simplified Limitation on Benefits Provision: </w:t>
            </w:r>
          </w:p>
          <w:p w:rsidR="00630D27" w:rsidRPr="00BF0409" w:rsidRDefault="00630D27" w:rsidP="00E628DE">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a) the term “recognised stock exchange” means: </w:t>
            </w:r>
          </w:p>
          <w:p w:rsidR="00630D27" w:rsidRPr="00BF0409" w:rsidRDefault="00630D27" w:rsidP="00E628DE">
            <w:pPr>
              <w:ind w:left="1021"/>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i) any stock exchange established and regulated as such under the laws of either Contracting State; and </w:t>
            </w:r>
          </w:p>
          <w:p w:rsidR="00630D27" w:rsidRPr="00BF0409" w:rsidRDefault="00630D27" w:rsidP="00E628DE">
            <w:pPr>
              <w:ind w:left="1021"/>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ii) any other stock exchange agreed upon by the competent authorities of the Contracting States; </w:t>
            </w:r>
          </w:p>
          <w:p w:rsidR="00630D27" w:rsidRPr="00BF0409" w:rsidRDefault="00630D27" w:rsidP="00E628DE">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b) the term “principal class of shares” means the class or classes of shares of a company which represents the majority of the aggregate vote and value of the company or the class or classes of beneficial interests of an entity which represents in the aggregate a majority of the aggregate vote and value of the entity; </w:t>
            </w:r>
          </w:p>
          <w:p w:rsidR="00630D27" w:rsidRPr="00BF0409" w:rsidRDefault="00630D27" w:rsidP="00E628DE">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c) the term “equivalent beneficiary” means any person who would be entitled to benefits with respect to an item of income accorded by a Contracting State under the domestic law of that Contracting State, the Convention or any other international instrument which are equivalent to, or more favourable than, benefits to be accorded to that item of income under the Convention; for the purposes of determining whether a person is an equivalent beneficiary with respect to dividends, the person shall be deemed to hold the same capital of the company paying the dividends as such capital the company claiming the benefit with respect to the dividends holds; </w:t>
            </w:r>
          </w:p>
          <w:p w:rsidR="00630D27" w:rsidRPr="00BF0409" w:rsidRDefault="00630D27" w:rsidP="00E628DE">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d) with respect to entities that are not companies, the term “shares” means </w:t>
            </w:r>
            <w:r w:rsidRPr="00BF0409">
              <w:rPr>
                <w:rFonts w:ascii="Times New Roman" w:hAnsi="Times New Roman" w:cs="Times New Roman"/>
                <w:sz w:val="28"/>
                <w:szCs w:val="28"/>
                <w:lang w:val="en-US"/>
              </w:rPr>
              <w:lastRenderedPageBreak/>
              <w:t xml:space="preserve">interests that are comparable to shares; </w:t>
            </w:r>
          </w:p>
          <w:p w:rsidR="00630D27" w:rsidRPr="00BF0409" w:rsidRDefault="00630D27" w:rsidP="00E628DE">
            <w:pPr>
              <w:ind w:left="596"/>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e) two persons shall be “connected persons” if one owns, directly or indirectly, at least 50 per cent of the beneficial interest in the other (or, in the case of a company, at least 50 per cent of the aggregate vote and value of the company's shares) or another person owns, directly or indirectly, at least 50 per cent of the beneficial interest (or, in the case of a company, at least 50 per cent of the aggregate vote and value of the company's shares) in each person; in any case, a person shall be connected to another if, based on all the relevant facts and circumstances, one has control of the other or both are under the control of the same person or persons.</w:t>
            </w:r>
          </w:p>
        </w:tc>
      </w:tr>
    </w:tbl>
    <w:p w:rsidR="00630D27" w:rsidRPr="00BF0409" w:rsidRDefault="00630D27" w:rsidP="00630D27">
      <w:pPr>
        <w:rPr>
          <w:rFonts w:ascii="Times New Roman" w:eastAsia="MS Mincho" w:hAnsi="Times New Roman" w:cs="Times New Roman"/>
          <w:kern w:val="2"/>
          <w:sz w:val="28"/>
          <w:szCs w:val="28"/>
          <w:lang w:val="en-US" w:eastAsia="ja-JP"/>
        </w:rPr>
      </w:pPr>
    </w:p>
    <w:p w:rsidR="002C1F81" w:rsidRPr="00EF0575" w:rsidRDefault="002C1F81">
      <w:pPr>
        <w:spacing w:after="0"/>
        <w:rPr>
          <w:rFonts w:ascii="Times New Roman" w:hAnsi="Times New Roman" w:cs="Times New Roman"/>
          <w:sz w:val="28"/>
          <w:szCs w:val="28"/>
          <w:lang w:val="en-US"/>
        </w:rPr>
      </w:pPr>
    </w:p>
    <w:tbl>
      <w:tblPr>
        <w:tblStyle w:val="aa"/>
        <w:tblW w:w="0" w:type="auto"/>
        <w:tblLook w:val="04A0" w:firstRow="1" w:lastRow="0" w:firstColumn="1" w:lastColumn="0" w:noHBand="0" w:noVBand="1"/>
      </w:tblPr>
      <w:tblGrid>
        <w:gridCol w:w="9404"/>
      </w:tblGrid>
      <w:tr w:rsidR="002C1F81" w:rsidRPr="00D57D21" w:rsidTr="0014706A">
        <w:tc>
          <w:tcPr>
            <w:tcW w:w="9404" w:type="dxa"/>
          </w:tcPr>
          <w:p w:rsidR="002C1F81" w:rsidRPr="00BF0409" w:rsidRDefault="002C1F81" w:rsidP="0014706A">
            <w:pPr>
              <w:rPr>
                <w:rFonts w:ascii="Times New Roman" w:hAnsi="Times New Roman" w:cs="Times New Roman"/>
                <w:i/>
                <w:sz w:val="28"/>
                <w:szCs w:val="28"/>
                <w:lang w:val="en-US"/>
              </w:rPr>
            </w:pPr>
            <w:r w:rsidRPr="00BF0409">
              <w:rPr>
                <w:rFonts w:ascii="Times New Roman" w:hAnsi="Times New Roman" w:cs="Times New Roman"/>
                <w:i/>
                <w:sz w:val="28"/>
                <w:szCs w:val="28"/>
                <w:lang w:val="en-US"/>
              </w:rPr>
              <w:t>The following paragraphs 1 to 3 of Article 10 of the MLI apply and supersede the provisions of this Convention:</w:t>
            </w:r>
          </w:p>
          <w:p w:rsidR="002C1F81" w:rsidRPr="00BF0409" w:rsidRDefault="002C1F81" w:rsidP="0014706A">
            <w:pPr>
              <w:rPr>
                <w:rFonts w:ascii="Times New Roman" w:hAnsi="Times New Roman" w:cs="Times New Roman"/>
                <w:sz w:val="28"/>
                <w:szCs w:val="28"/>
                <w:lang w:val="en-US"/>
              </w:rPr>
            </w:pPr>
          </w:p>
          <w:p w:rsidR="002C1F81" w:rsidRPr="00BF0409" w:rsidRDefault="002C1F81" w:rsidP="0014706A">
            <w:pPr>
              <w:jc w:val="center"/>
              <w:rPr>
                <w:rFonts w:ascii="Times New Roman" w:hAnsi="Times New Roman" w:cs="Times New Roman"/>
                <w:sz w:val="28"/>
                <w:szCs w:val="28"/>
                <w:lang w:val="en-US"/>
              </w:rPr>
            </w:pPr>
            <w:r w:rsidRPr="00BF0409">
              <w:rPr>
                <w:rFonts w:ascii="Times New Roman" w:hAnsi="Times New Roman" w:cs="Times New Roman"/>
                <w:sz w:val="28"/>
                <w:szCs w:val="28"/>
                <w:lang w:val="en-US"/>
              </w:rPr>
              <w:t>ARTICLE 10– ANTI-ABUSE RULE FOR PERMANENT ESTABLISHMENT SITUATED IN THIRD JURISDICTIONS</w:t>
            </w:r>
          </w:p>
          <w:p w:rsidR="002C1F81" w:rsidRPr="00BF0409" w:rsidRDefault="002C1F81" w:rsidP="0014706A">
            <w:pPr>
              <w:rPr>
                <w:rFonts w:ascii="Times New Roman" w:hAnsi="Times New Roman" w:cs="Times New Roman"/>
                <w:sz w:val="28"/>
                <w:szCs w:val="28"/>
                <w:lang w:val="en-US"/>
              </w:rPr>
            </w:pPr>
          </w:p>
          <w:p w:rsidR="002C1F81" w:rsidRPr="00BF0409" w:rsidRDefault="002C1F81" w:rsidP="0014706A">
            <w:pPr>
              <w:rPr>
                <w:rFonts w:ascii="Times New Roman" w:hAnsi="Times New Roman" w:cs="Times New Roman"/>
                <w:i/>
                <w:sz w:val="28"/>
                <w:szCs w:val="28"/>
                <w:lang w:val="en-US"/>
              </w:rPr>
            </w:pPr>
            <w:r w:rsidRPr="00BF0409">
              <w:rPr>
                <w:rFonts w:ascii="Times New Roman" w:hAnsi="Times New Roman" w:cs="Times New Roman"/>
                <w:i/>
                <w:sz w:val="28"/>
                <w:szCs w:val="28"/>
                <w:lang w:val="en-US"/>
              </w:rPr>
              <w:t xml:space="preserve">Paragraph 1 of Article 10 of the MLI </w:t>
            </w:r>
          </w:p>
          <w:p w:rsidR="002C1F81" w:rsidRPr="00BF0409" w:rsidRDefault="002C1F81" w:rsidP="0014706A">
            <w:pPr>
              <w:rPr>
                <w:rFonts w:ascii="Times New Roman" w:hAnsi="Times New Roman" w:cs="Times New Roman"/>
                <w:sz w:val="28"/>
                <w:szCs w:val="28"/>
                <w:lang w:val="en-US"/>
              </w:rPr>
            </w:pPr>
          </w:p>
          <w:p w:rsidR="002C1F81" w:rsidRPr="00BF0409" w:rsidRDefault="002C1F81" w:rsidP="0014706A">
            <w:pPr>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Where: </w:t>
            </w:r>
          </w:p>
          <w:p w:rsidR="002C1F81" w:rsidRPr="00BF0409" w:rsidRDefault="002C1F81" w:rsidP="0014706A">
            <w:pPr>
              <w:ind w:left="880" w:hanging="284"/>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a) an enterprise of a Contracting State derives income from the other Contracting State and the first-mentioned Contracting State treats such income as attributable to a permanent establishment of the enterprise situated in a third jurisdiction; and </w:t>
            </w:r>
          </w:p>
          <w:p w:rsidR="002C1F81" w:rsidRPr="00BF0409" w:rsidRDefault="002C1F81" w:rsidP="0014706A">
            <w:pPr>
              <w:ind w:left="880" w:hanging="284"/>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b) the profits attributable to that permanent establishment are exempt from tax in the first-mentioned Contracting State, </w:t>
            </w:r>
          </w:p>
          <w:p w:rsidR="002C1F81" w:rsidRPr="00BF0409" w:rsidRDefault="002C1F81" w:rsidP="0014706A">
            <w:pPr>
              <w:rPr>
                <w:rFonts w:ascii="Times New Roman" w:hAnsi="Times New Roman" w:cs="Times New Roman"/>
                <w:sz w:val="28"/>
                <w:szCs w:val="28"/>
                <w:lang w:val="en-US"/>
              </w:rPr>
            </w:pPr>
          </w:p>
          <w:p w:rsidR="002C1F81" w:rsidRPr="00BF0409" w:rsidRDefault="002C1F81" w:rsidP="0014706A">
            <w:pPr>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the benefits of the Convention shall not apply to any item of income on which the tax in the third jurisdiction is less than 60 per cent of the tax that would be imposed in the first-mentioned Contracting State on that item of income if that permanent establishment were situated in the first-mentioned Contracting State. In such a case, any income to which the provisions of this paragraph apply shall remain taxable according to the domestic law of the other Contracting State, notwithstanding any other provisions of the Convention. </w:t>
            </w:r>
          </w:p>
          <w:p w:rsidR="002C1F81" w:rsidRPr="00BF0409" w:rsidRDefault="002C1F81" w:rsidP="0014706A">
            <w:pPr>
              <w:jc w:val="both"/>
              <w:rPr>
                <w:rFonts w:ascii="Times New Roman" w:hAnsi="Times New Roman" w:cs="Times New Roman"/>
                <w:sz w:val="28"/>
                <w:szCs w:val="28"/>
                <w:lang w:val="en-US"/>
              </w:rPr>
            </w:pPr>
          </w:p>
          <w:p w:rsidR="002C1F81" w:rsidRPr="00BF0409" w:rsidRDefault="002C1F81" w:rsidP="0014706A">
            <w:pPr>
              <w:rPr>
                <w:rFonts w:ascii="Times New Roman" w:hAnsi="Times New Roman" w:cs="Times New Roman"/>
                <w:i/>
                <w:sz w:val="28"/>
                <w:szCs w:val="28"/>
                <w:lang w:val="en-US"/>
              </w:rPr>
            </w:pPr>
            <w:r w:rsidRPr="00BF0409">
              <w:rPr>
                <w:rFonts w:ascii="Times New Roman" w:hAnsi="Times New Roman" w:cs="Times New Roman"/>
                <w:i/>
                <w:sz w:val="28"/>
                <w:szCs w:val="28"/>
                <w:lang w:val="en-US"/>
              </w:rPr>
              <w:t xml:space="preserve">Paragraph 2 of Article 10 of the MLI </w:t>
            </w:r>
          </w:p>
          <w:p w:rsidR="002C1F81" w:rsidRPr="00BF0409" w:rsidRDefault="002C1F81" w:rsidP="0014706A">
            <w:pPr>
              <w:rPr>
                <w:rFonts w:ascii="Times New Roman" w:hAnsi="Times New Roman" w:cs="Times New Roman"/>
                <w:sz w:val="28"/>
                <w:szCs w:val="28"/>
                <w:lang w:val="en-US"/>
              </w:rPr>
            </w:pPr>
          </w:p>
          <w:p w:rsidR="002C1F81" w:rsidRPr="00BF0409" w:rsidRDefault="002C1F81" w:rsidP="0014706A">
            <w:pPr>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 xml:space="preserve">Paragraph 1 of Article 10 of the MLI shall not apply if the income derived from the other Contracting State described in paragraph 1 of Article 10 of the MLI is derived in connection with or is incidental to the active conduct of a business carried on through the permanent establishment (other than the business of making, managing or simply holding investments for the enterprise’s own </w:t>
            </w:r>
            <w:r w:rsidRPr="00BF0409">
              <w:rPr>
                <w:rFonts w:ascii="Times New Roman" w:hAnsi="Times New Roman" w:cs="Times New Roman"/>
                <w:sz w:val="28"/>
                <w:szCs w:val="28"/>
                <w:lang w:val="en-US"/>
              </w:rPr>
              <w:lastRenderedPageBreak/>
              <w:t xml:space="preserve">account, unless these activities are banking, insurance or securities activities carried on by a bank, insurance enterprise or registered securities dealer, respectively). </w:t>
            </w:r>
          </w:p>
          <w:p w:rsidR="002C1F81" w:rsidRPr="00BF0409" w:rsidRDefault="002C1F81" w:rsidP="0014706A">
            <w:pPr>
              <w:rPr>
                <w:rFonts w:ascii="Times New Roman" w:hAnsi="Times New Roman" w:cs="Times New Roman"/>
                <w:sz w:val="28"/>
                <w:szCs w:val="28"/>
                <w:lang w:val="en-US"/>
              </w:rPr>
            </w:pPr>
          </w:p>
          <w:p w:rsidR="002C1F81" w:rsidRPr="00BF0409" w:rsidRDefault="002C1F81" w:rsidP="0014706A">
            <w:pPr>
              <w:rPr>
                <w:rFonts w:ascii="Times New Roman" w:hAnsi="Times New Roman" w:cs="Times New Roman"/>
                <w:i/>
                <w:sz w:val="28"/>
                <w:szCs w:val="28"/>
                <w:lang w:val="en-US"/>
              </w:rPr>
            </w:pPr>
            <w:r w:rsidRPr="00BF0409">
              <w:rPr>
                <w:rFonts w:ascii="Times New Roman" w:hAnsi="Times New Roman" w:cs="Times New Roman"/>
                <w:i/>
                <w:sz w:val="28"/>
                <w:szCs w:val="28"/>
                <w:lang w:val="en-US"/>
              </w:rPr>
              <w:t xml:space="preserve">Paragraph 3 of Article 10 of the MLI </w:t>
            </w:r>
          </w:p>
          <w:p w:rsidR="002C1F81" w:rsidRPr="00BF0409" w:rsidRDefault="002C1F81" w:rsidP="0014706A">
            <w:pPr>
              <w:rPr>
                <w:rFonts w:ascii="Times New Roman" w:hAnsi="Times New Roman" w:cs="Times New Roman"/>
                <w:sz w:val="28"/>
                <w:szCs w:val="28"/>
                <w:lang w:val="en-US"/>
              </w:rPr>
            </w:pPr>
          </w:p>
          <w:p w:rsidR="002C1F81" w:rsidRPr="00BF0409" w:rsidRDefault="002C1F81" w:rsidP="0014706A">
            <w:pPr>
              <w:jc w:val="both"/>
              <w:rPr>
                <w:rFonts w:ascii="Times New Roman" w:hAnsi="Times New Roman" w:cs="Times New Roman"/>
                <w:sz w:val="28"/>
                <w:szCs w:val="28"/>
                <w:lang w:val="en-US"/>
              </w:rPr>
            </w:pPr>
            <w:r w:rsidRPr="00BF0409">
              <w:rPr>
                <w:rFonts w:ascii="Times New Roman" w:hAnsi="Times New Roman" w:cs="Times New Roman"/>
                <w:sz w:val="28"/>
                <w:szCs w:val="28"/>
                <w:lang w:val="en-US"/>
              </w:rPr>
              <w:t>If benefits under the Convention are denied pursuant to paragraph 1 of Article 10 of the MLI with respect to an item of income derived by a resident of a Contracting State, the competent authority of the other Contracting State may, nevertheless, grant these benefits with respect to that item of income if, in response to a request by such resident, such competent authority determines that granting such benefits is justified in light of the reasons such resident did not satisfy the requirements of paragraphs 1 and 2 of Article 10 of the MLI. The competent authority of the Contracting State to which a request has been made under the preceding sentence by a resident of the other Contracting State shall consult with the competent authority of that other Contracting State before either granting or denying the request.</w:t>
            </w:r>
          </w:p>
        </w:tc>
      </w:tr>
    </w:tbl>
    <w:p w:rsidR="002C1F81" w:rsidRPr="00BF0409" w:rsidRDefault="002C1F81" w:rsidP="002C1F81">
      <w:pPr>
        <w:jc w:val="both"/>
        <w:rPr>
          <w:rFonts w:ascii="Times New Roman" w:eastAsia="MS Mincho" w:hAnsi="Times New Roman" w:cs="Times New Roman"/>
          <w:dstrike/>
          <w:kern w:val="2"/>
          <w:sz w:val="28"/>
          <w:szCs w:val="28"/>
          <w:lang w:val="en-US" w:eastAsia="ja-JP"/>
        </w:rPr>
      </w:pP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2C1F81" w:rsidRPr="00D57D21" w:rsidTr="0014706A">
        <w:trPr>
          <w:trHeight w:val="2861"/>
        </w:trPr>
        <w:tc>
          <w:tcPr>
            <w:tcW w:w="9625" w:type="dxa"/>
            <w:tcBorders>
              <w:top w:val="single" w:sz="4" w:space="0" w:color="auto"/>
              <w:bottom w:val="single" w:sz="4" w:space="0" w:color="auto"/>
            </w:tcBorders>
            <w:shd w:val="clear" w:color="auto" w:fill="auto"/>
          </w:tcPr>
          <w:p w:rsidR="002C1F81" w:rsidRPr="00BF0409" w:rsidRDefault="002C1F81" w:rsidP="0014706A">
            <w:pPr>
              <w:autoSpaceDE w:val="0"/>
              <w:autoSpaceDN w:val="0"/>
              <w:adjustRightInd w:val="0"/>
              <w:rPr>
                <w:rFonts w:ascii="Times New Roman" w:hAnsi="Times New Roman" w:cs="Times New Roman"/>
                <w:i/>
                <w:iCs/>
                <w:sz w:val="28"/>
                <w:szCs w:val="28"/>
                <w:lang w:val="en-US"/>
              </w:rPr>
            </w:pPr>
            <w:r w:rsidRPr="00BF0409">
              <w:rPr>
                <w:rFonts w:ascii="Times New Roman" w:hAnsi="Times New Roman" w:cs="Times New Roman"/>
                <w:i/>
                <w:iCs/>
                <w:sz w:val="28"/>
                <w:szCs w:val="28"/>
                <w:lang w:val="en-US"/>
              </w:rPr>
              <w:t>The following paragraph 1 of Article 7 of the MLI applies and supersedes the provisions of this Convention:</w:t>
            </w:r>
          </w:p>
          <w:p w:rsidR="002C1F81" w:rsidRPr="00BF0409" w:rsidRDefault="002C1F81" w:rsidP="0014706A">
            <w:pPr>
              <w:keepNext/>
              <w:keepLines/>
              <w:tabs>
                <w:tab w:val="left" w:pos="850"/>
                <w:tab w:val="left" w:pos="1191"/>
                <w:tab w:val="left" w:pos="1531"/>
              </w:tabs>
              <w:ind w:right="680"/>
              <w:jc w:val="center"/>
              <w:outlineLvl w:val="2"/>
              <w:rPr>
                <w:rFonts w:ascii="Times New Roman" w:hAnsi="Times New Roman" w:cs="Times New Roman"/>
                <w:bCs/>
                <w:iCs/>
                <w:sz w:val="28"/>
                <w:szCs w:val="28"/>
                <w:lang w:val="en-US"/>
              </w:rPr>
            </w:pPr>
            <w:r w:rsidRPr="00BF0409">
              <w:rPr>
                <w:rFonts w:ascii="Times New Roman" w:hAnsi="Times New Roman" w:cs="Times New Roman"/>
                <w:bCs/>
                <w:iCs/>
                <w:sz w:val="28"/>
                <w:szCs w:val="28"/>
                <w:lang w:val="en-US"/>
              </w:rPr>
              <w:t xml:space="preserve">ARTICLE 7 – PREVENTION OF TREATY ABUSE </w:t>
            </w:r>
          </w:p>
          <w:p w:rsidR="002C1F81" w:rsidRPr="00BF0409" w:rsidRDefault="002C1F81" w:rsidP="0014706A">
            <w:pPr>
              <w:keepNext/>
              <w:keepLines/>
              <w:tabs>
                <w:tab w:val="left" w:pos="850"/>
                <w:tab w:val="left" w:pos="1191"/>
                <w:tab w:val="left" w:pos="1531"/>
              </w:tabs>
              <w:ind w:right="680"/>
              <w:jc w:val="center"/>
              <w:outlineLvl w:val="2"/>
              <w:rPr>
                <w:rFonts w:ascii="Times New Roman" w:hAnsi="Times New Roman" w:cs="Times New Roman"/>
                <w:bCs/>
                <w:iCs/>
                <w:sz w:val="28"/>
                <w:szCs w:val="28"/>
                <w:lang w:val="en-US"/>
              </w:rPr>
            </w:pPr>
            <w:r w:rsidRPr="00BF0409">
              <w:rPr>
                <w:rFonts w:ascii="Times New Roman" w:hAnsi="Times New Roman" w:cs="Times New Roman"/>
                <w:bCs/>
                <w:iCs/>
                <w:sz w:val="28"/>
                <w:szCs w:val="28"/>
                <w:lang w:val="en-US"/>
              </w:rPr>
              <w:t>(</w:t>
            </w:r>
            <w:r w:rsidRPr="00BF0409">
              <w:rPr>
                <w:rFonts w:ascii="Times New Roman" w:hAnsi="Times New Roman" w:cs="Times New Roman"/>
                <w:bCs/>
                <w:i/>
                <w:iCs/>
                <w:sz w:val="28"/>
                <w:szCs w:val="28"/>
                <w:lang w:val="en-US"/>
              </w:rPr>
              <w:t>Principal purpose test provision</w:t>
            </w:r>
            <w:r w:rsidRPr="00BF0409">
              <w:rPr>
                <w:rFonts w:ascii="Times New Roman" w:hAnsi="Times New Roman" w:cs="Times New Roman"/>
                <w:bCs/>
                <w:iCs/>
                <w:sz w:val="28"/>
                <w:szCs w:val="28"/>
                <w:lang w:val="en-US"/>
              </w:rPr>
              <w:t>)</w:t>
            </w:r>
          </w:p>
          <w:p w:rsidR="002C1F81" w:rsidRPr="00BF0409" w:rsidRDefault="002C1F81" w:rsidP="0014706A">
            <w:pPr>
              <w:tabs>
                <w:tab w:val="left" w:pos="720"/>
                <w:tab w:val="left" w:pos="1440"/>
                <w:tab w:val="left" w:pos="2160"/>
                <w:tab w:val="left" w:pos="2880"/>
                <w:tab w:val="left" w:pos="3612"/>
                <w:tab w:val="center" w:pos="6237"/>
              </w:tabs>
              <w:overflowPunct w:val="0"/>
              <w:spacing w:line="240" w:lineRule="exact"/>
              <w:jc w:val="both"/>
              <w:rPr>
                <w:rFonts w:ascii="Times New Roman" w:eastAsia="SimSun" w:hAnsi="Times New Roman" w:cs="Times New Roman"/>
                <w:iCs/>
                <w:sz w:val="28"/>
                <w:szCs w:val="28"/>
                <w:lang w:val="en-US"/>
              </w:rPr>
            </w:pPr>
            <w:r w:rsidRPr="00BF0409">
              <w:rPr>
                <w:rFonts w:ascii="Times New Roman" w:hAnsi="Times New Roman" w:cs="Times New Roman"/>
                <w:sz w:val="28"/>
                <w:szCs w:val="28"/>
                <w:lang w:val="en-US" w:eastAsia="ja-JP"/>
              </w:rPr>
              <w:t>Notwithstanding any provisions of the Convention, a benefit under the Convention shall not be granted in respect of an item of income or capital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the Convention.</w:t>
            </w:r>
          </w:p>
        </w:tc>
      </w:tr>
    </w:tbl>
    <w:p w:rsidR="002C1F81" w:rsidRDefault="002C1F81" w:rsidP="002C1F81">
      <w:pPr>
        <w:spacing w:after="0" w:line="240" w:lineRule="auto"/>
        <w:jc w:val="center"/>
        <w:rPr>
          <w:rFonts w:ascii="Times New Roman" w:eastAsia="Times New Roman" w:hAnsi="Times New Roman" w:cs="Times New Roman"/>
          <w:b/>
          <w:bCs/>
          <w:color w:val="000000"/>
          <w:sz w:val="28"/>
          <w:szCs w:val="28"/>
          <w:lang w:val="en-US" w:eastAsia="ru-RU"/>
        </w:rPr>
      </w:pPr>
      <w:bookmarkStart w:id="3" w:name="SUB300000"/>
      <w:bookmarkEnd w:id="3"/>
    </w:p>
    <w:p w:rsidR="008612E1" w:rsidRPr="00EF0575" w:rsidRDefault="008612E1">
      <w:pPr>
        <w:spacing w:after="0"/>
        <w:rPr>
          <w:rFonts w:ascii="Times New Roman" w:hAnsi="Times New Roman" w:cs="Times New Roman"/>
          <w:sz w:val="28"/>
          <w:szCs w:val="28"/>
          <w:lang w:val="en-US"/>
        </w:rPr>
      </w:pP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28</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ENTRY INTO FORCE</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1. This Convention shall be ratified and the instruments of ratification shall be exchanged as soon as possible.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2. The Convention shall enter into force 60 days upon the day of the exchange of instruments of ratification and its provisions shall have effect:</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lastRenderedPageBreak/>
        <w:t>a) with regard to taxes withheld at the source to amounts of income derived on or after the first day of January in the calendar year next following the year in which the Convention enters into force; and</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b) with regard to other taxes on income and capital, in respect to taxable periods beginning on or after the first day of January in the calendar year next following the year in which the Convention enters into force.</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Article 29</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TERMINATION</w:t>
      </w:r>
    </w:p>
    <w:p w:rsidR="008612E1" w:rsidRPr="00EF0575" w:rsidRDefault="00576710">
      <w:pPr>
        <w:spacing w:after="0"/>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This Convention shall remain in force until terminated by one of the Contracting State. Either Contracting State may terminate the Convention, through diplomatic channels, by giving notice of termination at least six months before the end of any calendar year after the expiry of five years from the date of entry into force of the Convention. In such event, the Convention shall cease to have effect:</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a) with regard to taxes withheld at source to amounts of income derived on or after the first day of January in the calendar year next following the year in which the notice of termination is given; and</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b) with regard to other taxes on income and capital, for taxable periods beginning on or after the first day of January in the year next following that in which the notice of termination is given.</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IN witness whereof, the undersigned, being duly authorised thereto, have signed this Convention.</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DONE in duplicate at Astana this 21 day of March 2007, in the Kazakh, Russian, Slovak and English languages, all texts being equally authentic. In case of divergence of interpretation, the English text shall prevail.</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p w:rsidR="008612E1" w:rsidRPr="00EF0575" w:rsidRDefault="00576710">
      <w:pPr>
        <w:spacing w:after="0"/>
        <w:jc w:val="both"/>
        <w:rPr>
          <w:rFonts w:ascii="Times New Roman" w:hAnsi="Times New Roman" w:cs="Times New Roman"/>
          <w:sz w:val="28"/>
          <w:szCs w:val="28"/>
          <w:lang w:val="en-US"/>
        </w:rPr>
      </w:pPr>
      <w:r w:rsidRPr="00EF0575">
        <w:rPr>
          <w:rFonts w:ascii="Times New Roman" w:hAnsi="Times New Roman" w:cs="Times New Roman"/>
          <w:color w:val="000000"/>
          <w:sz w:val="28"/>
          <w:szCs w:val="28"/>
          <w:lang w:val="en-US"/>
        </w:rPr>
        <w:t> </w:t>
      </w:r>
    </w:p>
    <w:tbl>
      <w:tblPr>
        <w:tblW w:w="5000" w:type="pct"/>
        <w:tblCellSpacing w:w="0" w:type="dxa"/>
        <w:tblLook w:val="04A0" w:firstRow="1" w:lastRow="0" w:firstColumn="1" w:lastColumn="0" w:noHBand="0" w:noVBand="1"/>
      </w:tblPr>
      <w:tblGrid>
        <w:gridCol w:w="5506"/>
        <w:gridCol w:w="4065"/>
      </w:tblGrid>
      <w:tr w:rsidR="008612E1" w:rsidRPr="00EF0575">
        <w:trPr>
          <w:tblCellSpacing w:w="0" w:type="dxa"/>
        </w:trPr>
        <w:tc>
          <w:tcPr>
            <w:tcW w:w="0" w:type="auto"/>
            <w:tcMar>
              <w:left w:w="108" w:type="dxa"/>
              <w:right w:w="108" w:type="dxa"/>
            </w:tcMar>
          </w:tcPr>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FOR</w:t>
            </w:r>
          </w:p>
          <w:p w:rsidR="008612E1" w:rsidRPr="00EF0575" w:rsidRDefault="00576710">
            <w:pPr>
              <w:spacing w:after="0"/>
              <w:jc w:val="center"/>
              <w:rPr>
                <w:rFonts w:ascii="Times New Roman" w:hAnsi="Times New Roman" w:cs="Times New Roman"/>
                <w:sz w:val="28"/>
                <w:szCs w:val="28"/>
                <w:lang w:val="en-US"/>
              </w:rPr>
            </w:pPr>
            <w:r w:rsidRPr="00EF0575">
              <w:rPr>
                <w:rFonts w:ascii="Times New Roman" w:hAnsi="Times New Roman" w:cs="Times New Roman"/>
                <w:b/>
                <w:color w:val="000000"/>
                <w:sz w:val="28"/>
                <w:szCs w:val="28"/>
                <w:lang w:val="en-US"/>
              </w:rPr>
              <w:t>THE REPUBLIC OF KAZAKHSTAN</w:t>
            </w:r>
          </w:p>
        </w:tc>
        <w:tc>
          <w:tcPr>
            <w:tcW w:w="0" w:type="auto"/>
            <w:tcMar>
              <w:left w:w="108" w:type="dxa"/>
              <w:right w:w="108" w:type="dxa"/>
            </w:tcMar>
          </w:tcPr>
          <w:p w:rsidR="008612E1" w:rsidRPr="00EF0575" w:rsidRDefault="00576710">
            <w:pPr>
              <w:rPr>
                <w:rFonts w:ascii="Times New Roman" w:hAnsi="Times New Roman" w:cs="Times New Roman"/>
                <w:sz w:val="28"/>
                <w:szCs w:val="28"/>
                <w:lang w:val="ru"/>
              </w:rPr>
            </w:pPr>
            <w:r w:rsidRPr="00EF0575">
              <w:rPr>
                <w:rFonts w:ascii="Times New Roman" w:hAnsi="Times New Roman" w:cs="Times New Roman"/>
                <w:b/>
                <w:sz w:val="28"/>
                <w:szCs w:val="28"/>
              </w:rPr>
              <w:t>FOR</w:t>
            </w:r>
          </w:p>
          <w:p w:rsidR="008612E1" w:rsidRPr="00EF0575" w:rsidRDefault="00576710">
            <w:pPr>
              <w:rPr>
                <w:rFonts w:ascii="Times New Roman" w:hAnsi="Times New Roman" w:cs="Times New Roman"/>
                <w:sz w:val="28"/>
                <w:szCs w:val="28"/>
                <w:lang w:val="ru"/>
              </w:rPr>
            </w:pPr>
            <w:r w:rsidRPr="00EF0575">
              <w:rPr>
                <w:rFonts w:ascii="Times New Roman" w:hAnsi="Times New Roman" w:cs="Times New Roman"/>
                <w:b/>
                <w:sz w:val="28"/>
                <w:szCs w:val="28"/>
              </w:rPr>
              <w:t>THE SLOVAK REPUBLIC</w:t>
            </w:r>
          </w:p>
        </w:tc>
      </w:tr>
    </w:tbl>
    <w:p w:rsidR="008612E1" w:rsidRPr="00EF0575" w:rsidRDefault="00576710">
      <w:pPr>
        <w:spacing w:after="0"/>
        <w:rPr>
          <w:rFonts w:ascii="Times New Roman" w:hAnsi="Times New Roman" w:cs="Times New Roman"/>
          <w:sz w:val="28"/>
          <w:szCs w:val="28"/>
          <w:lang w:val="ru"/>
        </w:rPr>
      </w:pPr>
      <w:r w:rsidRPr="00EF0575">
        <w:rPr>
          <w:rFonts w:ascii="Times New Roman" w:hAnsi="Times New Roman" w:cs="Times New Roman"/>
          <w:color w:val="000000"/>
          <w:sz w:val="28"/>
          <w:szCs w:val="28"/>
        </w:rPr>
        <w:t> </w:t>
      </w:r>
    </w:p>
    <w:p w:rsidR="008612E1" w:rsidRPr="00EF0575" w:rsidRDefault="00576710">
      <w:pPr>
        <w:spacing w:after="0"/>
        <w:rPr>
          <w:rFonts w:ascii="Times New Roman" w:hAnsi="Times New Roman" w:cs="Times New Roman"/>
          <w:sz w:val="28"/>
          <w:szCs w:val="28"/>
          <w:lang w:val="ru"/>
        </w:rPr>
      </w:pPr>
      <w:r w:rsidRPr="00EF0575">
        <w:rPr>
          <w:rFonts w:ascii="Times New Roman" w:hAnsi="Times New Roman" w:cs="Times New Roman"/>
          <w:color w:val="000000"/>
          <w:sz w:val="28"/>
          <w:szCs w:val="28"/>
        </w:rPr>
        <w:t> </w:t>
      </w:r>
    </w:p>
    <w:p w:rsidR="008612E1" w:rsidRPr="00EF0575" w:rsidRDefault="00576710">
      <w:pPr>
        <w:spacing w:after="0"/>
        <w:rPr>
          <w:rFonts w:ascii="Times New Roman" w:hAnsi="Times New Roman" w:cs="Times New Roman"/>
          <w:sz w:val="28"/>
          <w:szCs w:val="28"/>
          <w:lang w:val="ru"/>
        </w:rPr>
      </w:pPr>
      <w:r w:rsidRPr="00EF0575">
        <w:rPr>
          <w:rFonts w:ascii="Times New Roman" w:hAnsi="Times New Roman" w:cs="Times New Roman"/>
          <w:color w:val="000000"/>
          <w:sz w:val="28"/>
          <w:szCs w:val="28"/>
        </w:rPr>
        <w:lastRenderedPageBreak/>
        <w:t> </w:t>
      </w:r>
    </w:p>
    <w:p w:rsidR="008612E1" w:rsidRPr="00EF0575" w:rsidRDefault="00576710">
      <w:pPr>
        <w:rPr>
          <w:rFonts w:ascii="Times New Roman" w:hAnsi="Times New Roman" w:cs="Times New Roman"/>
          <w:sz w:val="28"/>
          <w:szCs w:val="28"/>
        </w:rPr>
      </w:pPr>
      <w:r w:rsidRPr="00EF0575">
        <w:rPr>
          <w:rFonts w:ascii="Times New Roman" w:hAnsi="Times New Roman" w:cs="Times New Roman"/>
          <w:sz w:val="28"/>
          <w:szCs w:val="28"/>
        </w:rPr>
        <w:br/>
      </w:r>
    </w:p>
    <w:sectPr w:rsidR="008612E1" w:rsidRPr="00EF0575">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19D" w:rsidRDefault="00BD219D" w:rsidP="00745097">
      <w:pPr>
        <w:spacing w:after="0" w:line="240" w:lineRule="auto"/>
      </w:pPr>
      <w:r>
        <w:separator/>
      </w:r>
    </w:p>
  </w:endnote>
  <w:endnote w:type="continuationSeparator" w:id="0">
    <w:p w:rsidR="00BD219D" w:rsidRDefault="00BD219D" w:rsidP="007450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522108"/>
      <w:docPartObj>
        <w:docPartGallery w:val="Page Numbers (Bottom of Page)"/>
        <w:docPartUnique/>
      </w:docPartObj>
    </w:sdtPr>
    <w:sdtEndPr/>
    <w:sdtContent>
      <w:p w:rsidR="006C30E4" w:rsidRDefault="006C30E4">
        <w:pPr>
          <w:pStyle w:val="a5"/>
          <w:jc w:val="center"/>
        </w:pPr>
        <w:r>
          <w:fldChar w:fldCharType="begin"/>
        </w:r>
        <w:r>
          <w:instrText>PAGE   \* MERGEFORMAT</w:instrText>
        </w:r>
        <w:r>
          <w:fldChar w:fldCharType="separate"/>
        </w:r>
        <w:r w:rsidR="00630366">
          <w:rPr>
            <w:noProof/>
          </w:rPr>
          <w:t>1</w:t>
        </w:r>
        <w:r>
          <w:fldChar w:fldCharType="end"/>
        </w:r>
      </w:p>
    </w:sdtContent>
  </w:sdt>
  <w:p w:rsidR="006C30E4" w:rsidRDefault="006C30E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19D" w:rsidRDefault="00BD219D" w:rsidP="00745097">
      <w:pPr>
        <w:spacing w:after="0" w:line="240" w:lineRule="auto"/>
      </w:pPr>
      <w:r>
        <w:separator/>
      </w:r>
    </w:p>
  </w:footnote>
  <w:footnote w:type="continuationSeparator" w:id="0">
    <w:p w:rsidR="00BD219D" w:rsidRDefault="00BD219D" w:rsidP="007450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499"/>
    <w:rsid w:val="0014706A"/>
    <w:rsid w:val="0019441D"/>
    <w:rsid w:val="001E0881"/>
    <w:rsid w:val="001F149A"/>
    <w:rsid w:val="00211CE8"/>
    <w:rsid w:val="002C1F81"/>
    <w:rsid w:val="00346E5B"/>
    <w:rsid w:val="0035338B"/>
    <w:rsid w:val="00360224"/>
    <w:rsid w:val="00483E0F"/>
    <w:rsid w:val="004C6F0C"/>
    <w:rsid w:val="004E513F"/>
    <w:rsid w:val="0050571F"/>
    <w:rsid w:val="00533534"/>
    <w:rsid w:val="005648F3"/>
    <w:rsid w:val="005723F2"/>
    <w:rsid w:val="00576710"/>
    <w:rsid w:val="00630366"/>
    <w:rsid w:val="00630D27"/>
    <w:rsid w:val="0065191B"/>
    <w:rsid w:val="006C30E4"/>
    <w:rsid w:val="00745097"/>
    <w:rsid w:val="007B1117"/>
    <w:rsid w:val="0083217D"/>
    <w:rsid w:val="008612E1"/>
    <w:rsid w:val="0087418F"/>
    <w:rsid w:val="00940499"/>
    <w:rsid w:val="009B037F"/>
    <w:rsid w:val="00A0522C"/>
    <w:rsid w:val="00AB1071"/>
    <w:rsid w:val="00B26EA3"/>
    <w:rsid w:val="00BD219D"/>
    <w:rsid w:val="00BF64AC"/>
    <w:rsid w:val="00C70F94"/>
    <w:rsid w:val="00D57D21"/>
    <w:rsid w:val="00E02648"/>
    <w:rsid w:val="00E45B72"/>
    <w:rsid w:val="00E96014"/>
    <w:rsid w:val="00EF0575"/>
    <w:rsid w:val="00F15E63"/>
    <w:rsid w:val="00FB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A7966B-A999-4487-A1A8-0D7CE63DF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450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5097"/>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74509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45097"/>
  </w:style>
  <w:style w:type="paragraph" w:styleId="a5">
    <w:name w:val="footer"/>
    <w:basedOn w:val="a"/>
    <w:link w:val="a6"/>
    <w:uiPriority w:val="99"/>
    <w:unhideWhenUsed/>
    <w:rsid w:val="0074509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45097"/>
  </w:style>
  <w:style w:type="paragraph" w:styleId="a7">
    <w:name w:val="Balloon Text"/>
    <w:basedOn w:val="a"/>
    <w:link w:val="a8"/>
    <w:uiPriority w:val="99"/>
    <w:semiHidden/>
    <w:unhideWhenUsed/>
    <w:rsid w:val="00745097"/>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45097"/>
    <w:rPr>
      <w:rFonts w:ascii="Tahoma" w:hAnsi="Tahoma" w:cs="Tahoma"/>
      <w:sz w:val="16"/>
      <w:szCs w:val="16"/>
    </w:rPr>
  </w:style>
  <w:style w:type="paragraph" w:customStyle="1" w:styleId="CM26">
    <w:name w:val="CM26"/>
    <w:basedOn w:val="a"/>
    <w:next w:val="a"/>
    <w:uiPriority w:val="99"/>
    <w:rsid w:val="00576710"/>
    <w:pPr>
      <w:autoSpaceDE w:val="0"/>
      <w:autoSpaceDN w:val="0"/>
      <w:adjustRightInd w:val="0"/>
      <w:spacing w:after="0" w:line="240" w:lineRule="auto"/>
    </w:pPr>
    <w:rPr>
      <w:rFonts w:ascii="Times New Roman" w:hAnsi="Times New Roman"/>
      <w:sz w:val="24"/>
      <w:szCs w:val="24"/>
    </w:rPr>
  </w:style>
  <w:style w:type="paragraph" w:styleId="a9">
    <w:name w:val="List Paragraph"/>
    <w:basedOn w:val="a"/>
    <w:uiPriority w:val="34"/>
    <w:qFormat/>
    <w:rsid w:val="0019441D"/>
    <w:pPr>
      <w:ind w:left="720"/>
      <w:contextualSpacing/>
    </w:pPr>
  </w:style>
  <w:style w:type="table" w:customStyle="1" w:styleId="TableGrid261">
    <w:name w:val="Table Grid261"/>
    <w:basedOn w:val="a1"/>
    <w:next w:val="aa"/>
    <w:uiPriority w:val="1"/>
    <w:rsid w:val="00B26EA3"/>
    <w:rPr>
      <w:rFonts w:ascii="Calibri" w:eastAsia="SimSun" w:hAnsi="Calibri"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B26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a1"/>
    <w:next w:val="aa"/>
    <w:uiPriority w:val="1"/>
    <w:rsid w:val="00B26EA3"/>
    <w:rPr>
      <w:rFonts w:ascii="Calibri" w:eastAsia="SimSun" w:hAnsi="Calibri"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a"/>
    <w:uiPriority w:val="39"/>
    <w:rsid w:val="00B26EA3"/>
    <w:pPr>
      <w:spacing w:after="0" w:line="240" w:lineRule="auto"/>
    </w:pPr>
    <w:rPr>
      <w:rFonts w:ascii="Times New Roman" w:eastAsia="MS Mincho"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10816</Words>
  <Characters>61657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Кудашкин</dc:creator>
  <cp:keywords/>
  <dc:description/>
  <cp:lastModifiedBy>user</cp:lastModifiedBy>
  <cp:revision>2</cp:revision>
  <dcterms:created xsi:type="dcterms:W3CDTF">2021-02-16T14:35:00Z</dcterms:created>
  <dcterms:modified xsi:type="dcterms:W3CDTF">2021-02-16T14:35:00Z</dcterms:modified>
</cp:coreProperties>
</file>